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pBdr>
          <w:top w:val="double" w:sz="6" w:space="1" w:color="000000"/>
        </w:pBdr>
        <w:bidi w:val="0"/>
        <w:jc w:val="left"/>
        <w:rPr/>
      </w:pPr>
      <w:bookmarkStart w:id="0" w:name="mstr-20240429.htm"/>
      <w:bookmarkStart w:id="1" w:name="ksmstr20240429"/>
      <w:bookmarkEnd w:id="0"/>
      <w:bookmarkEnd w:id="1"/>
      <w:r>
        <w:rPr/>
        <w:t> </w:t>
      </w:r>
    </w:p>
    <w:p>
      <w:pPr>
        <w:pStyle w:val="TextBody"/>
        <w:bidi w:val="0"/>
        <w:spacing w:before="115" w:after="283"/>
        <w:jc w:val="center"/>
        <w:rPr>
          <w:rFonts w:ascii="Times New Roman" w:hAnsi="Times New Roman"/>
          <w:sz w:val="20"/>
        </w:rPr>
      </w:pPr>
      <w:r>
        <w:rPr>
          <w:rFonts w:ascii="Times New Roman" w:hAnsi="Times New Roman"/>
          <w:b/>
          <w:color w:val="000000"/>
          <w:sz w:val="36"/>
        </w:rPr>
        <w:t>UNITED STATES</w:t>
        <w:br/>
        <w:t>SECURITIES AND EXCHANGE COMMISSION</w:t>
        <w:br/>
      </w:r>
      <w:r>
        <w:rPr>
          <w:rFonts w:ascii="Times New Roman" w:hAnsi="Times New Roman"/>
          <w:b/>
          <w:color w:val="000000"/>
          <w:sz w:val="24"/>
        </w:rPr>
        <w:t>WASHINGTON, D.C. 20549</w:t>
      </w:r>
    </w:p>
    <w:p>
      <w:pPr>
        <w:pStyle w:val="TextBody"/>
        <w:pBdr>
          <w:bottom w:val="single" w:sz="6" w:space="1" w:color="000000"/>
        </w:pBdr>
        <w:bidi w:val="0"/>
        <w:jc w:val="left"/>
        <w:rPr/>
      </w:pPr>
      <w:r>
        <w:rPr/>
        <w:t> </w:t>
      </w:r>
    </w:p>
    <w:p>
      <w:pPr>
        <w:pStyle w:val="TextBody"/>
        <w:bidi w:val="0"/>
        <w:spacing w:before="200" w:after="283"/>
        <w:jc w:val="center"/>
        <w:rPr>
          <w:rFonts w:ascii="Times New Roman" w:hAnsi="Times New Roman"/>
          <w:b/>
          <w:color w:val="000000"/>
          <w:sz w:val="36"/>
        </w:rPr>
      </w:pPr>
      <w:r>
        <w:rPr>
          <w:rFonts w:ascii="Times New Roman" w:hAnsi="Times New Roman"/>
          <w:b/>
          <w:color w:val="000000"/>
          <w:sz w:val="36"/>
        </w:rPr>
        <w:t>FORM 8-K</w:t>
      </w:r>
    </w:p>
    <w:p>
      <w:pPr>
        <w:pStyle w:val="TextBody"/>
        <w:pBdr>
          <w:bottom w:val="single" w:sz="6" w:space="1" w:color="000000"/>
        </w:pBdr>
        <w:bidi w:val="0"/>
        <w:jc w:val="left"/>
        <w:rPr/>
      </w:pPr>
      <w:r>
        <w:rPr/>
        <w:t> </w:t>
      </w:r>
    </w:p>
    <w:p>
      <w:pPr>
        <w:pStyle w:val="TextBody"/>
        <w:bidi w:val="0"/>
        <w:spacing w:before="180" w:after="283"/>
        <w:jc w:val="center"/>
        <w:rPr>
          <w:rFonts w:ascii="Times New Roman" w:hAnsi="Times New Roman"/>
          <w:b/>
          <w:color w:val="000000"/>
          <w:sz w:val="24"/>
        </w:rPr>
      </w:pPr>
      <w:r>
        <w:rPr>
          <w:rFonts w:ascii="Times New Roman" w:hAnsi="Times New Roman"/>
          <w:b/>
          <w:color w:val="000000"/>
          <w:sz w:val="24"/>
        </w:rPr>
        <w:t>CURRENT REPORT</w:t>
      </w:r>
    </w:p>
    <w:p>
      <w:pPr>
        <w:pStyle w:val="TextBody"/>
        <w:bidi w:val="0"/>
        <w:spacing w:before="180" w:after="120"/>
        <w:jc w:val="center"/>
        <w:rPr>
          <w:rFonts w:ascii="Times New Roman" w:hAnsi="Times New Roman"/>
          <w:b/>
          <w:color w:val="000000"/>
          <w:sz w:val="24"/>
        </w:rPr>
      </w:pPr>
      <w:r>
        <w:rPr>
          <w:rFonts w:ascii="Times New Roman" w:hAnsi="Times New Roman"/>
          <w:b/>
          <w:color w:val="000000"/>
          <w:sz w:val="24"/>
        </w:rPr>
        <w:t>Pursuant to Section 13 or 15(d) of the Securities Exchange Act of 1934</w:t>
      </w:r>
    </w:p>
    <w:tbl>
      <w:tblPr>
        <w:tblW w:w="5474" w:type="dxa"/>
        <w:jc w:val="left"/>
        <w:tblInd w:w="0" w:type="dxa"/>
        <w:tblLayout w:type="fixed"/>
        <w:tblCellMar>
          <w:top w:w="28" w:type="dxa"/>
          <w:left w:w="28" w:type="dxa"/>
          <w:bottom w:w="28" w:type="dxa"/>
          <w:right w:w="28" w:type="dxa"/>
        </w:tblCellMar>
      </w:tblPr>
      <w:tblGrid>
        <w:gridCol w:w="5474"/>
      </w:tblGrid>
      <w:tr>
        <w:trPr/>
        <w:tc>
          <w:tcPr>
            <w:tcW w:w="5474" w:type="dxa"/>
            <w:tcBorders/>
            <w:vAlign w:val="center"/>
          </w:tcPr>
          <w:p>
            <w:pPr>
              <w:pStyle w:val="TableContents"/>
              <w:bidi w:val="0"/>
              <w:spacing w:before="0" w:after="283"/>
              <w:jc w:val="left"/>
              <w:rPr>
                <w:sz w:val="4"/>
                <w:szCs w:val="4"/>
              </w:rPr>
            </w:pPr>
            <w:r>
              <w:rPr>
                <w:sz w:val="4"/>
                <w:szCs w:val="4"/>
              </w:rPr>
            </w:r>
          </w:p>
        </w:tc>
      </w:tr>
      <w:tr>
        <w:trPr/>
        <w:tc>
          <w:tcPr>
            <w:tcW w:w="5474" w:type="dxa"/>
            <w:tcBorders/>
            <w:tcMar>
              <w:top w:w="0" w:type="dxa"/>
              <w:left w:w="0" w:type="dxa"/>
              <w:bottom w:w="0" w:type="dxa"/>
              <w:right w:w="0" w:type="dxa"/>
            </w:tcMar>
            <w:vAlign w:val="center"/>
          </w:tcPr>
          <w:p>
            <w:pPr>
              <w:pStyle w:val="TableContents"/>
              <w:bidi w:val="0"/>
              <w:spacing w:before="0" w:after="283"/>
              <w:ind w:left="0" w:right="43" w:hanging="0"/>
              <w:jc w:val="center"/>
              <w:rPr>
                <w:rFonts w:ascii="Times New Roman" w:hAnsi="Times New Roman"/>
                <w:b/>
                <w:color w:val="000000"/>
                <w:sz w:val="20"/>
              </w:rPr>
            </w:pPr>
            <w:r>
              <w:rPr>
                <w:rFonts w:ascii="Times New Roman" w:hAnsi="Times New Roman"/>
                <w:b/>
                <w:color w:val="000000"/>
                <w:sz w:val="20"/>
              </w:rPr>
              <w:t>Date of Report (Date of earliest event reported): April 29, 2024</w:t>
            </w:r>
          </w:p>
        </w:tc>
      </w:tr>
    </w:tbl>
    <w:p>
      <w:pPr>
        <w:pStyle w:val="TextBody"/>
        <w:pBdr>
          <w:bottom w:val="single" w:sz="6" w:space="1" w:color="000000"/>
        </w:pBdr>
        <w:bidi w:val="0"/>
        <w:spacing w:before="100" w:after="283"/>
        <w:jc w:val="left"/>
        <w:rPr/>
      </w:pPr>
      <w:r>
        <w:rPr/>
        <w:t> </w:t>
      </w:r>
    </w:p>
    <w:p>
      <w:pPr>
        <w:pStyle w:val="TextBody"/>
        <w:bidi w:val="0"/>
        <w:jc w:val="left"/>
        <w:rPr/>
      </w:pPr>
      <w:r>
        <w:rPr/>
        <w:t> </w:t>
      </w:r>
    </w:p>
    <w:p>
      <w:pPr>
        <w:pStyle w:val="TextBody"/>
        <w:bidi w:val="0"/>
        <w:spacing w:before="100" w:after="283"/>
        <w:jc w:val="center"/>
        <w:rPr>
          <w:rFonts w:ascii="Times New Roman" w:hAnsi="Times New Roman"/>
          <w:b/>
          <w:color w:val="000000"/>
          <w:sz w:val="48"/>
        </w:rPr>
      </w:pPr>
      <w:r>
        <w:rPr>
          <w:rFonts w:ascii="Times New Roman" w:hAnsi="Times New Roman"/>
          <w:b/>
          <w:color w:val="000000"/>
          <w:sz w:val="48"/>
        </w:rPr>
        <w:t>MICROSTRATEGY INCORPORATED</w:t>
      </w:r>
    </w:p>
    <w:p>
      <w:pPr>
        <w:pStyle w:val="TextBody"/>
        <w:bidi w:val="0"/>
        <w:spacing w:before="60" w:after="283"/>
        <w:jc w:val="center"/>
        <w:rPr>
          <w:rFonts w:ascii="Times New Roman" w:hAnsi="Times New Roman"/>
          <w:b/>
          <w:color w:val="000000"/>
          <w:sz w:val="15"/>
        </w:rPr>
      </w:pPr>
      <w:r>
        <w:rPr>
          <w:rFonts w:ascii="Times New Roman" w:hAnsi="Times New Roman"/>
          <w:b/>
          <w:color w:val="000000"/>
          <w:sz w:val="15"/>
        </w:rPr>
        <w:t>(Exact name of Registrant as Specified in Its Charter)</w:t>
      </w:r>
    </w:p>
    <w:p>
      <w:pPr>
        <w:pStyle w:val="TextBody"/>
        <w:pBdr>
          <w:bottom w:val="single" w:sz="6" w:space="1" w:color="000000"/>
        </w:pBdr>
        <w:bidi w:val="0"/>
        <w:spacing w:before="180" w:after="283"/>
        <w:jc w:val="left"/>
        <w:rPr/>
      </w:pPr>
      <w:r>
        <w:rPr/>
        <w:t> </w:t>
      </w:r>
    </w:p>
    <w:p>
      <w:pPr>
        <w:pStyle w:val="TextBody"/>
        <w:bidi w:val="0"/>
        <w:jc w:val="left"/>
        <w:rPr/>
      </w:pPr>
      <w:r>
        <w:rPr/>
        <w:t> </w:t>
      </w:r>
    </w:p>
    <w:tbl>
      <w:tblPr>
        <w:tblW w:w="5867" w:type="dxa"/>
        <w:jc w:val="left"/>
        <w:tblInd w:w="0" w:type="dxa"/>
        <w:tblLayout w:type="fixed"/>
        <w:tblCellMar>
          <w:top w:w="28" w:type="dxa"/>
          <w:left w:w="28" w:type="dxa"/>
          <w:bottom w:w="28" w:type="dxa"/>
          <w:right w:w="28" w:type="dxa"/>
        </w:tblCellMar>
      </w:tblPr>
      <w:tblGrid>
        <w:gridCol w:w="950"/>
        <w:gridCol w:w="865"/>
        <w:gridCol w:w="870"/>
        <w:gridCol w:w="1846"/>
        <w:gridCol w:w="1336"/>
      </w:tblGrid>
      <w:tr>
        <w:trPr/>
        <w:tc>
          <w:tcPr>
            <w:tcW w:w="950" w:type="dxa"/>
            <w:tcBorders/>
            <w:vAlign w:val="center"/>
          </w:tcPr>
          <w:p>
            <w:pPr>
              <w:pStyle w:val="TableContents"/>
              <w:bidi w:val="0"/>
              <w:spacing w:before="0" w:after="283"/>
              <w:jc w:val="left"/>
              <w:rPr>
                <w:sz w:val="4"/>
                <w:szCs w:val="4"/>
              </w:rPr>
            </w:pPr>
            <w:r>
              <w:rPr>
                <w:sz w:val="4"/>
                <w:szCs w:val="4"/>
              </w:rPr>
            </w:r>
          </w:p>
        </w:tc>
        <w:tc>
          <w:tcPr>
            <w:tcW w:w="865" w:type="dxa"/>
            <w:tcBorders/>
            <w:vAlign w:val="center"/>
          </w:tcPr>
          <w:p>
            <w:pPr>
              <w:pStyle w:val="TableContents"/>
              <w:bidi w:val="0"/>
              <w:spacing w:before="0" w:after="283"/>
              <w:jc w:val="left"/>
              <w:rPr>
                <w:sz w:val="4"/>
                <w:szCs w:val="4"/>
              </w:rPr>
            </w:pPr>
            <w:r>
              <w:rPr>
                <w:sz w:val="4"/>
                <w:szCs w:val="4"/>
              </w:rPr>
            </w:r>
          </w:p>
        </w:tc>
        <w:tc>
          <w:tcPr>
            <w:tcW w:w="870" w:type="dxa"/>
            <w:tcBorders/>
            <w:vAlign w:val="center"/>
          </w:tcPr>
          <w:p>
            <w:pPr>
              <w:pStyle w:val="TableContents"/>
              <w:bidi w:val="0"/>
              <w:spacing w:before="0" w:after="283"/>
              <w:jc w:val="left"/>
              <w:rPr>
                <w:sz w:val="4"/>
                <w:szCs w:val="4"/>
              </w:rPr>
            </w:pPr>
            <w:r>
              <w:rPr>
                <w:sz w:val="4"/>
                <w:szCs w:val="4"/>
              </w:rPr>
            </w:r>
          </w:p>
        </w:tc>
        <w:tc>
          <w:tcPr>
            <w:tcW w:w="1846" w:type="dxa"/>
            <w:tcBorders/>
            <w:vAlign w:val="center"/>
          </w:tcPr>
          <w:p>
            <w:pPr>
              <w:pStyle w:val="TableContents"/>
              <w:bidi w:val="0"/>
              <w:spacing w:before="0" w:after="283"/>
              <w:jc w:val="left"/>
              <w:rPr>
                <w:sz w:val="4"/>
                <w:szCs w:val="4"/>
              </w:rPr>
            </w:pPr>
            <w:r>
              <w:rPr>
                <w:sz w:val="4"/>
                <w:szCs w:val="4"/>
              </w:rPr>
            </w:r>
          </w:p>
        </w:tc>
        <w:tc>
          <w:tcPr>
            <w:tcW w:w="1336" w:type="dxa"/>
            <w:tcBorders/>
            <w:vAlign w:val="center"/>
          </w:tcPr>
          <w:p>
            <w:pPr>
              <w:pStyle w:val="TableContents"/>
              <w:bidi w:val="0"/>
              <w:spacing w:before="0" w:after="283"/>
              <w:jc w:val="left"/>
              <w:rPr>
                <w:sz w:val="4"/>
                <w:szCs w:val="4"/>
              </w:rPr>
            </w:pPr>
            <w:r>
              <w:rPr>
                <w:sz w:val="4"/>
                <w:szCs w:val="4"/>
              </w:rPr>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Delaware</w:t>
            </w:r>
          </w:p>
        </w:tc>
        <w:tc>
          <w:tcPr>
            <w:tcW w:w="184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0-24435</w:t>
            </w:r>
          </w:p>
        </w:tc>
        <w:tc>
          <w:tcPr>
            <w:tcW w:w="133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51-0323571</w:t>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(State or Other Jurisdiction</w:t>
              <w:br/>
              <w:t>of Incorporation)</w:t>
            </w:r>
          </w:p>
        </w:tc>
        <w:tc>
          <w:tcPr>
            <w:tcW w:w="184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(Commission File Number)</w:t>
            </w:r>
          </w:p>
        </w:tc>
        <w:tc>
          <w:tcPr>
            <w:tcW w:w="133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(IRS Employer</w:t>
              <w:br/>
              <w:t>Identification No.)</w:t>
            </w:r>
          </w:p>
        </w:tc>
      </w:tr>
      <w:tr>
        <w:trPr/>
        <w:tc>
          <w:tcPr>
            <w:tcW w:w="950" w:type="dxa"/>
            <w:tcBorders/>
            <w:tcMar>
              <w:top w:w="0" w:type="dxa"/>
              <w:left w:w="0" w:type="dxa"/>
              <w:bottom w:w="0" w:type="dxa"/>
              <w:right w:w="0" w:type="dxa"/>
            </w:tcMar>
            <w:vAlign w:val="center"/>
          </w:tcPr>
          <w:p>
            <w:pPr>
              <w:pStyle w:val="TableContents"/>
              <w:bidi w:val="0"/>
              <w:spacing w:before="0" w:after="283"/>
              <w:jc w:val="center"/>
              <w:rPr/>
            </w:pPr>
            <w:r>
              <w:rPr/>
              <w:t> </w:t>
            </w:r>
          </w:p>
        </w:tc>
        <w:tc>
          <w:tcPr>
            <w:tcW w:w="865" w:type="dxa"/>
            <w:tcBorders/>
            <w:tcMar>
              <w:top w:w="0" w:type="dxa"/>
              <w:left w:w="0" w:type="dxa"/>
              <w:bottom w:w="0" w:type="dxa"/>
              <w:right w:w="0" w:type="dxa"/>
            </w:tcMar>
            <w:vAlign w:val="center"/>
          </w:tcPr>
          <w:p>
            <w:pPr>
              <w:pStyle w:val="TableContents"/>
              <w:bidi w:val="0"/>
              <w:spacing w:before="0" w:after="283"/>
              <w:jc w:val="center"/>
              <w:rPr/>
            </w:pPr>
            <w:r>
              <w:rPr/>
              <w:t> </w:t>
            </w:r>
          </w:p>
        </w:tc>
        <w:tc>
          <w:tcPr>
            <w:tcW w:w="870" w:type="dxa"/>
            <w:tcBorders/>
            <w:tcMar>
              <w:top w:w="0" w:type="dxa"/>
              <w:left w:w="0" w:type="dxa"/>
              <w:bottom w:w="0" w:type="dxa"/>
              <w:right w:w="0" w:type="dxa"/>
            </w:tcMar>
            <w:vAlign w:val="center"/>
          </w:tcPr>
          <w:p>
            <w:pPr>
              <w:pStyle w:val="TableContents"/>
              <w:bidi w:val="0"/>
              <w:spacing w:before="0" w:after="283"/>
              <w:jc w:val="center"/>
              <w:rPr/>
            </w:pPr>
            <w:r>
              <w:rPr/>
              <w:t> </w:t>
            </w:r>
          </w:p>
        </w:tc>
        <w:tc>
          <w:tcPr>
            <w:tcW w:w="1846" w:type="dxa"/>
            <w:tcBorders/>
            <w:tcMar>
              <w:top w:w="0" w:type="dxa"/>
              <w:left w:w="0" w:type="dxa"/>
              <w:bottom w:w="0" w:type="dxa"/>
              <w:right w:w="0" w:type="dxa"/>
            </w:tcMar>
            <w:vAlign w:val="center"/>
          </w:tcPr>
          <w:p>
            <w:pPr>
              <w:pStyle w:val="TableContents"/>
              <w:bidi w:val="0"/>
              <w:spacing w:before="0" w:after="283"/>
              <w:jc w:val="center"/>
              <w:rPr/>
            </w:pPr>
            <w:r>
              <w:rPr/>
              <w:t> </w:t>
            </w:r>
          </w:p>
        </w:tc>
        <w:tc>
          <w:tcPr>
            <w:tcW w:w="1336" w:type="dxa"/>
            <w:tcBorders/>
            <w:tcMar>
              <w:top w:w="0" w:type="dxa"/>
              <w:left w:w="0" w:type="dxa"/>
              <w:bottom w:w="0" w:type="dxa"/>
              <w:right w:w="0" w:type="dxa"/>
            </w:tcMar>
            <w:vAlign w:val="center"/>
          </w:tcPr>
          <w:p>
            <w:pPr>
              <w:pStyle w:val="TableContents"/>
              <w:bidi w:val="0"/>
              <w:spacing w:before="0" w:after="283"/>
              <w:jc w:val="center"/>
              <w:rPr/>
            </w:pPr>
            <w:r>
              <w:rPr/>
              <w:t> </w:t>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1850 Towers Crescent Plaza</w:t>
            </w:r>
          </w:p>
        </w:tc>
        <w:tc>
          <w:tcPr>
            <w:tcW w:w="3182" w:type="dxa"/>
            <w:gridSpan w:val="2"/>
            <w:tcBorders/>
            <w:tcMar>
              <w:top w:w="0" w:type="dxa"/>
              <w:left w:w="0" w:type="dxa"/>
              <w:bottom w:w="0" w:type="dxa"/>
              <w:right w:w="0" w:type="dxa"/>
            </w:tcMar>
            <w:vAlign w:val="center"/>
          </w:tcPr>
          <w:p>
            <w:pPr>
              <w:pStyle w:val="TableContents"/>
              <w:bidi w:val="0"/>
              <w:spacing w:before="0" w:after="283"/>
              <w:jc w:val="center"/>
              <w:rPr/>
            </w:pPr>
            <w:r>
              <w:rPr/>
              <w:t> </w:t>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Tysons Corner, Virginia</w:t>
            </w:r>
          </w:p>
        </w:tc>
        <w:tc>
          <w:tcPr>
            <w:tcW w:w="1846" w:type="dxa"/>
            <w:tcBorders/>
            <w:tcMar>
              <w:top w:w="0" w:type="dxa"/>
              <w:left w:w="0" w:type="dxa"/>
              <w:bottom w:w="0" w:type="dxa"/>
              <w:right w:w="0" w:type="dxa"/>
            </w:tcMar>
            <w:vAlign w:val="center"/>
          </w:tcPr>
          <w:p>
            <w:pPr>
              <w:pStyle w:val="TableContents"/>
              <w:bidi w:val="0"/>
              <w:spacing w:before="0" w:after="283"/>
              <w:jc w:val="left"/>
              <w:rPr/>
            </w:pPr>
            <w:r>
              <w:rPr/>
              <w:t> </w:t>
            </w:r>
          </w:p>
        </w:tc>
        <w:tc>
          <w:tcPr>
            <w:tcW w:w="133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22182</w:t>
            </w:r>
          </w:p>
        </w:tc>
      </w:tr>
      <w:tr>
        <w:trPr/>
        <w:tc>
          <w:tcPr>
            <w:tcW w:w="2685" w:type="dxa"/>
            <w:gridSpan w:val="3"/>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(Address of Principal Executive Offices)</w:t>
            </w:r>
          </w:p>
        </w:tc>
        <w:tc>
          <w:tcPr>
            <w:tcW w:w="1846" w:type="dxa"/>
            <w:tcBorders/>
            <w:tcMar>
              <w:top w:w="0" w:type="dxa"/>
              <w:left w:w="0" w:type="dxa"/>
              <w:bottom w:w="0" w:type="dxa"/>
              <w:right w:w="0" w:type="dxa"/>
            </w:tcMar>
            <w:vAlign w:val="center"/>
          </w:tcPr>
          <w:p>
            <w:pPr>
              <w:pStyle w:val="TableContents"/>
              <w:bidi w:val="0"/>
              <w:spacing w:before="0" w:after="283"/>
              <w:jc w:val="center"/>
              <w:rPr/>
            </w:pPr>
            <w:r>
              <w:rPr/>
              <w:t> </w:t>
            </w:r>
          </w:p>
        </w:tc>
        <w:tc>
          <w:tcPr>
            <w:tcW w:w="133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b/>
                <w:color w:val="000000"/>
                <w:sz w:val="15"/>
              </w:rPr>
            </w:pPr>
            <w:r>
              <w:rPr>
                <w:rFonts w:ascii="Times New Roman" w:hAnsi="Times New Roman"/>
                <w:b/>
                <w:color w:val="000000"/>
                <w:sz w:val="15"/>
              </w:rPr>
              <w:t>(Zip Code)</w:t>
            </w:r>
          </w:p>
        </w:tc>
      </w:tr>
    </w:tbl>
    <w:p>
      <w:pPr>
        <w:pStyle w:val="TextBody"/>
        <w:bidi w:val="0"/>
        <w:jc w:val="left"/>
        <w:rPr/>
      </w:pPr>
      <w:r>
        <w:rPr/>
        <w:t> </w:t>
      </w:r>
    </w:p>
    <w:tbl>
      <w:tblPr>
        <w:tblW w:w="5999" w:type="dxa"/>
        <w:jc w:val="left"/>
        <w:tblInd w:w="0" w:type="dxa"/>
        <w:tblLayout w:type="fixed"/>
        <w:tblCellMar>
          <w:top w:w="28" w:type="dxa"/>
          <w:left w:w="28" w:type="dxa"/>
          <w:bottom w:w="28" w:type="dxa"/>
          <w:right w:w="28" w:type="dxa"/>
        </w:tblCellMar>
      </w:tblPr>
      <w:tblGrid>
        <w:gridCol w:w="5999"/>
      </w:tblGrid>
      <w:tr>
        <w:trPr/>
        <w:tc>
          <w:tcPr>
            <w:tcW w:w="5999" w:type="dxa"/>
            <w:tcBorders/>
            <w:vAlign w:val="center"/>
          </w:tcPr>
          <w:p>
            <w:pPr>
              <w:pStyle w:val="TableContents"/>
              <w:bidi w:val="0"/>
              <w:spacing w:before="0" w:after="283"/>
              <w:jc w:val="left"/>
              <w:rPr>
                <w:sz w:val="4"/>
                <w:szCs w:val="4"/>
              </w:rPr>
            </w:pPr>
            <w:r>
              <w:rPr>
                <w:sz w:val="4"/>
                <w:szCs w:val="4"/>
              </w:rPr>
            </w:r>
          </w:p>
        </w:tc>
      </w:tr>
      <w:tr>
        <w:trPr/>
        <w:tc>
          <w:tcPr>
            <w:tcW w:w="5999" w:type="dxa"/>
            <w:tcBorders/>
            <w:tcMar>
              <w:top w:w="0" w:type="dxa"/>
              <w:left w:w="0" w:type="dxa"/>
              <w:bottom w:w="0" w:type="dxa"/>
              <w:right w:w="0" w:type="dxa"/>
            </w:tcMar>
            <w:vAlign w:val="center"/>
          </w:tcPr>
          <w:p>
            <w:pPr>
              <w:pStyle w:val="TableContents"/>
              <w:bidi w:val="0"/>
              <w:spacing w:before="0" w:after="283"/>
              <w:ind w:left="0" w:right="43" w:hanging="0"/>
              <w:jc w:val="center"/>
              <w:rPr>
                <w:rFonts w:ascii="Times New Roman" w:hAnsi="Times New Roman"/>
                <w:sz w:val="20"/>
              </w:rPr>
            </w:pPr>
            <w:r>
              <w:rPr>
                <w:rFonts w:ascii="Times New Roman" w:hAnsi="Times New Roman"/>
                <w:b/>
                <w:color w:val="000000"/>
                <w:sz w:val="20"/>
              </w:rPr>
              <w:t>Registrant’s Telephone Number, Including Area Code:</w:t>
            </w:r>
            <w:r>
              <w:rPr>
                <w:rFonts w:ascii="Times New Roman" w:hAnsi="Times New Roman"/>
                <w:color w:val="000000"/>
                <w:sz w:val="20"/>
              </w:rPr>
              <w:t xml:space="preserve"> </w:t>
            </w:r>
            <w:r>
              <w:rPr>
                <w:rFonts w:ascii="Times New Roman" w:hAnsi="Times New Roman"/>
                <w:b/>
                <w:color w:val="000000"/>
                <w:sz w:val="20"/>
              </w:rPr>
              <w:t>703</w:t>
            </w:r>
            <w:r>
              <w:rPr>
                <w:rFonts w:ascii="Times New Roman" w:hAnsi="Times New Roman"/>
                <w:color w:val="000000"/>
                <w:sz w:val="20"/>
              </w:rPr>
              <w:t xml:space="preserve"> </w:t>
            </w:r>
            <w:r>
              <w:rPr>
                <w:rFonts w:ascii="Times New Roman" w:hAnsi="Times New Roman"/>
                <w:b/>
                <w:color w:val="000000"/>
                <w:sz w:val="20"/>
              </w:rPr>
              <w:t>848-8600</w:t>
            </w:r>
          </w:p>
        </w:tc>
      </w:tr>
    </w:tbl>
    <w:p>
      <w:pPr>
        <w:pStyle w:val="TextBody"/>
        <w:bidi w:val="0"/>
        <w:jc w:val="left"/>
        <w:rPr/>
      </w:pPr>
      <w:r>
        <w:rPr/>
        <w:t> </w:t>
      </w:r>
    </w:p>
    <w:tbl>
      <w:tblPr>
        <w:tblW w:w="206" w:type="dxa"/>
        <w:jc w:val="left"/>
        <w:tblInd w:w="0" w:type="dxa"/>
        <w:tblLayout w:type="fixed"/>
        <w:tblCellMar>
          <w:top w:w="28" w:type="dxa"/>
          <w:left w:w="28" w:type="dxa"/>
          <w:bottom w:w="28" w:type="dxa"/>
          <w:right w:w="28" w:type="dxa"/>
        </w:tblCellMar>
      </w:tblPr>
      <w:tblGrid>
        <w:gridCol w:w="206"/>
      </w:tblGrid>
      <w:tr>
        <w:trPr/>
        <w:tc>
          <w:tcPr>
            <w:tcW w:w="206" w:type="dxa"/>
            <w:tcBorders/>
            <w:vAlign w:val="center"/>
          </w:tcPr>
          <w:p>
            <w:pPr>
              <w:pStyle w:val="TableContents"/>
              <w:bidi w:val="0"/>
              <w:spacing w:before="0" w:after="283"/>
              <w:jc w:val="left"/>
              <w:rPr>
                <w:sz w:val="4"/>
                <w:szCs w:val="4"/>
              </w:rPr>
            </w:pPr>
            <w:r>
              <w:rPr>
                <w:sz w:val="4"/>
                <w:szCs w:val="4"/>
              </w:rPr>
            </w:r>
          </w:p>
        </w:tc>
      </w:tr>
      <w:tr>
        <w:trPr/>
        <w:tc>
          <w:tcPr>
            <w:tcW w:w="206" w:type="dxa"/>
            <w:tcBorders/>
            <w:tcMar>
              <w:top w:w="0" w:type="dxa"/>
              <w:left w:w="0" w:type="dxa"/>
              <w:bottom w:w="0" w:type="dxa"/>
              <w:right w:w="0" w:type="dxa"/>
            </w:tcMar>
            <w:vAlign w:val="center"/>
          </w:tcPr>
          <w:p>
            <w:pPr>
              <w:pStyle w:val="TableContents"/>
              <w:bidi w:val="0"/>
              <w:spacing w:before="0" w:after="283"/>
              <w:jc w:val="center"/>
              <w:rPr/>
            </w:pPr>
            <w:r>
              <w:rPr/>
              <w:t> </w:t>
            </w:r>
          </w:p>
        </w:tc>
      </w:tr>
    </w:tbl>
    <w:p>
      <w:pPr>
        <w:pStyle w:val="TextBody"/>
        <w:bidi w:val="0"/>
        <w:jc w:val="center"/>
        <w:rPr>
          <w:rFonts w:ascii="Times New Roman" w:hAnsi="Times New Roman"/>
          <w:b/>
          <w:color w:val="000000"/>
          <w:sz w:val="15"/>
        </w:rPr>
      </w:pPr>
      <w:r>
        <w:rPr>
          <w:rFonts w:ascii="Times New Roman" w:hAnsi="Times New Roman"/>
          <w:b/>
          <w:color w:val="000000"/>
          <w:sz w:val="15"/>
        </w:rPr>
        <w:t>(Former Name or Former Address, if Changed Since Last Report)</w:t>
      </w:r>
    </w:p>
    <w:p>
      <w:pPr>
        <w:pStyle w:val="TextBody"/>
        <w:pBdr>
          <w:bottom w:val="single" w:sz="6" w:space="1" w:color="000000"/>
        </w:pBdr>
        <w:bidi w:val="0"/>
        <w:spacing w:before="187" w:after="283"/>
        <w:jc w:val="left"/>
        <w:rPr/>
      </w:pPr>
      <w:r>
        <w:rPr/>
        <w:t> </w:t>
      </w:r>
    </w:p>
    <w:p>
      <w:pPr>
        <w:pStyle w:val="TextBody"/>
        <w:bidi w:val="0"/>
        <w:spacing w:before="187" w:after="120"/>
        <w:jc w:val="left"/>
        <w:rPr>
          <w:rFonts w:ascii="Times New Roman" w:hAnsi="Times New Roman"/>
          <w:color w:val="000000"/>
          <w:sz w:val="20"/>
        </w:rPr>
      </w:pPr>
      <w:r>
        <w:rPr>
          <w:rFonts w:ascii="Times New Roman" w:hAnsi="Times New Roman"/>
          <w:color w:val="000000"/>
          <w:sz w:val="20"/>
        </w:rPr>
        <w:t xml:space="preserve">Check the appropriate box below if the Form 8-K filing is intended to simultaneously satisfy the filing obligation of the registrant under any of the following provisions: </w:t>
      </w:r>
    </w:p>
    <w:p>
      <w:pPr>
        <w:pStyle w:val="TextBody"/>
        <w:bidi w:val="0"/>
        <w:spacing w:before="180" w:after="283"/>
        <w:ind w:left="0" w:right="0" w:hanging="490"/>
        <w:jc w:val="left"/>
        <w:rPr/>
      </w:pPr>
      <w:r>
        <w:rPr/>
        <w:t>☐</w:t>
      </w:r>
      <w:r>
        <w:rPr>
          <w:rFonts w:ascii="Times New Roman" w:hAnsi="Times New Roman"/>
          <w:color w:val="000000"/>
          <w:sz w:val="20"/>
        </w:rPr>
        <w:t>Written communications pursuant to Rule 425 under the Securities Act (17 CFR 230.425)</w:t>
      </w:r>
    </w:p>
    <w:p>
      <w:pPr>
        <w:pStyle w:val="TextBody"/>
        <w:bidi w:val="0"/>
        <w:spacing w:before="120" w:after="283"/>
        <w:ind w:left="0" w:right="0" w:hanging="490"/>
        <w:jc w:val="left"/>
        <w:rPr/>
      </w:pPr>
      <w:r>
        <w:rPr/>
        <w:t>☐</w:t>
      </w:r>
      <w:r>
        <w:rPr>
          <w:rFonts w:ascii="Times New Roman" w:hAnsi="Times New Roman"/>
          <w:color w:val="000000"/>
          <w:sz w:val="20"/>
        </w:rPr>
        <w:t>Soliciting material pursuant to Rule 14a-12 under the Exchange Act (17 CFR 240.14a-12)</w:t>
      </w:r>
    </w:p>
    <w:p>
      <w:pPr>
        <w:pStyle w:val="TextBody"/>
        <w:bidi w:val="0"/>
        <w:spacing w:before="120" w:after="283"/>
        <w:ind w:left="0" w:right="0" w:hanging="490"/>
        <w:jc w:val="left"/>
        <w:rPr/>
      </w:pPr>
      <w:r>
        <w:rPr/>
        <w:t>☐</w:t>
      </w:r>
      <w:r>
        <w:rPr>
          <w:rFonts w:ascii="Times New Roman" w:hAnsi="Times New Roman"/>
          <w:color w:val="000000"/>
          <w:sz w:val="20"/>
        </w:rPr>
        <w:t>Pre-commencement communications pursuant to Rule 14d-2(b) under the Exchange Act (17 CFR 240.14d-2(b))</w:t>
      </w:r>
    </w:p>
    <w:p>
      <w:pPr>
        <w:pStyle w:val="TextBody"/>
        <w:bidi w:val="0"/>
        <w:spacing w:before="120" w:after="283"/>
        <w:ind w:left="0" w:right="0" w:hanging="490"/>
        <w:jc w:val="left"/>
        <w:rPr/>
      </w:pPr>
      <w:r>
        <w:rPr/>
        <w:t>☐</w:t>
      </w:r>
      <w:r>
        <w:rPr>
          <w:rFonts w:ascii="Times New Roman" w:hAnsi="Times New Roman"/>
          <w:color w:val="000000"/>
          <w:sz w:val="20"/>
        </w:rPr>
        <w:t>Pre-commencement communications pursuant to Rule 13e-4(c) under the Exchange Act (17 CFR 240.13e-4(c))</w:t>
      </w:r>
    </w:p>
    <w:p>
      <w:pPr>
        <w:pStyle w:val="TextBody"/>
        <w:bidi w:val="0"/>
        <w:spacing w:before="180" w:after="180"/>
        <w:jc w:val="center"/>
        <w:rPr>
          <w:rFonts w:ascii="Times New Roman" w:hAnsi="Times New Roman"/>
          <w:b/>
          <w:color w:val="000000"/>
          <w:sz w:val="20"/>
        </w:rPr>
      </w:pPr>
      <w:r>
        <w:rPr>
          <w:rFonts w:ascii="Times New Roman" w:hAnsi="Times New Roman"/>
          <w:b/>
          <w:color w:val="000000"/>
          <w:sz w:val="20"/>
        </w:rPr>
        <w:t>Securities registered pursuant to Section 12(b) of the Act:</w:t>
      </w:r>
    </w:p>
    <w:tbl>
      <w:tblPr>
        <w:tblW w:w="9250" w:type="dxa"/>
        <w:jc w:val="left"/>
        <w:tblInd w:w="0" w:type="dxa"/>
        <w:tblLayout w:type="fixed"/>
        <w:tblCellMar>
          <w:top w:w="28" w:type="dxa"/>
          <w:left w:w="28" w:type="dxa"/>
          <w:bottom w:w="28" w:type="dxa"/>
          <w:right w:w="28" w:type="dxa"/>
        </w:tblCellMar>
      </w:tblPr>
      <w:tblGrid>
        <w:gridCol w:w="4186"/>
        <w:gridCol w:w="146"/>
        <w:gridCol w:w="946"/>
        <w:gridCol w:w="146"/>
        <w:gridCol w:w="3826"/>
      </w:tblGrid>
      <w:tr>
        <w:trPr/>
        <w:tc>
          <w:tcPr>
            <w:tcW w:w="418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9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3826" w:type="dxa"/>
            <w:tcBorders/>
            <w:vAlign w:val="center"/>
          </w:tcPr>
          <w:p>
            <w:pPr>
              <w:pStyle w:val="TableContents"/>
              <w:bidi w:val="0"/>
              <w:spacing w:before="0" w:after="283"/>
              <w:jc w:val="left"/>
              <w:rPr>
                <w:sz w:val="4"/>
                <w:szCs w:val="4"/>
              </w:rPr>
            </w:pPr>
            <w:r>
              <w:rPr>
                <w:sz w:val="4"/>
                <w:szCs w:val="4"/>
              </w:rPr>
            </w:r>
          </w:p>
        </w:tc>
      </w:tr>
      <w:tr>
        <w:trPr/>
        <w:tc>
          <w:tcPr>
            <w:tcW w:w="4186" w:type="dxa"/>
            <w:tcBorders>
              <w:bottom w:val="single" w:sz="2" w:space="0" w:color="000000"/>
            </w:tcBorders>
            <w:tcMar>
              <w:top w:w="0" w:type="dxa"/>
              <w:left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br/>
              <w:t>Title of each class</w:t>
            </w:r>
          </w:p>
        </w:tc>
        <w:tc>
          <w:tcPr>
            <w:tcW w:w="146" w:type="dxa"/>
            <w:tcBorders>
              <w:bottom w:val="single" w:sz="2" w:space="0" w:color="000000"/>
            </w:tcBorders>
            <w:tcMar>
              <w:top w:w="0" w:type="dxa"/>
              <w:left w:w="0" w:type="dxa"/>
              <w:right w:w="0" w:type="dxa"/>
            </w:tcMar>
            <w:vAlign w:val="center"/>
          </w:tcPr>
          <w:p>
            <w:pPr>
              <w:pStyle w:val="TableContents"/>
              <w:bidi w:val="0"/>
              <w:spacing w:before="0" w:after="283"/>
              <w:jc w:val="left"/>
              <w:rPr/>
            </w:pPr>
            <w:r>
              <w:rPr/>
              <w:t> </w:t>
            </w:r>
          </w:p>
        </w:tc>
        <w:tc>
          <w:tcPr>
            <w:tcW w:w="946" w:type="dxa"/>
            <w:tcBorders>
              <w:bottom w:val="single" w:sz="2" w:space="0" w:color="000000"/>
            </w:tcBorders>
            <w:tcMar>
              <w:top w:w="0" w:type="dxa"/>
              <w:left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t>Trading</w:t>
              <w:br/>
              <w:t>Symbol(s)</w:t>
            </w:r>
          </w:p>
        </w:tc>
        <w:tc>
          <w:tcPr>
            <w:tcW w:w="146" w:type="dxa"/>
            <w:tcBorders>
              <w:bottom w:val="single" w:sz="2" w:space="0" w:color="000000"/>
            </w:tcBorders>
            <w:tcMar>
              <w:top w:w="0" w:type="dxa"/>
              <w:left w:w="0" w:type="dxa"/>
              <w:right w:w="0" w:type="dxa"/>
            </w:tcMar>
            <w:vAlign w:val="center"/>
          </w:tcPr>
          <w:p>
            <w:pPr>
              <w:pStyle w:val="TableContents"/>
              <w:bidi w:val="0"/>
              <w:spacing w:before="0" w:after="283"/>
              <w:jc w:val="left"/>
              <w:rPr/>
            </w:pPr>
            <w:r>
              <w:rPr/>
              <w:t> </w:t>
            </w:r>
          </w:p>
        </w:tc>
        <w:tc>
          <w:tcPr>
            <w:tcW w:w="3826" w:type="dxa"/>
            <w:tcBorders>
              <w:bottom w:val="single" w:sz="2" w:space="0" w:color="000000"/>
            </w:tcBorders>
            <w:tcMar>
              <w:top w:w="0" w:type="dxa"/>
              <w:left w:w="0" w:type="dxa"/>
              <w:right w:w="0" w:type="dxa"/>
            </w:tcMar>
            <w:vAlign w:val="center"/>
          </w:tcPr>
          <w:p>
            <w:pPr>
              <w:pStyle w:val="TableContents"/>
              <w:bidi w:val="0"/>
              <w:spacing w:before="0" w:after="283"/>
              <w:jc w:val="center"/>
              <w:rPr>
                <w:rFonts w:ascii="Times New Roman" w:hAnsi="Times New Roman"/>
                <w:b/>
                <w:color w:val="000000"/>
                <w:sz w:val="20"/>
              </w:rPr>
            </w:pPr>
            <w:r>
              <w:rPr>
                <w:rFonts w:ascii="Times New Roman" w:hAnsi="Times New Roman"/>
                <w:b/>
                <w:color w:val="000000"/>
                <w:sz w:val="20"/>
              </w:rPr>
              <w:br/>
              <w:t>Name of each exchange on which registered</w:t>
            </w:r>
          </w:p>
        </w:tc>
      </w:tr>
      <w:tr>
        <w:trPr/>
        <w:tc>
          <w:tcPr>
            <w:tcW w:w="418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color w:val="000000"/>
                <w:sz w:val="20"/>
              </w:rPr>
            </w:pPr>
            <w:r>
              <w:rPr>
                <w:rFonts w:ascii="Times New Roman" w:hAnsi="Times New Roman"/>
                <w:color w:val="000000"/>
                <w:sz w:val="20"/>
              </w:rPr>
              <w:t>Class A common stock, par value $0.001 per share</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4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color w:val="000000"/>
                <w:sz w:val="20"/>
              </w:rPr>
            </w:pPr>
            <w:r>
              <w:rPr>
                <w:rFonts w:ascii="Times New Roman" w:hAnsi="Times New Roman"/>
                <w:color w:val="000000"/>
                <w:sz w:val="20"/>
              </w:rPr>
              <w:t>MSTR</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3826" w:type="dxa"/>
            <w:tcBorders/>
            <w:tcMar>
              <w:top w:w="0" w:type="dxa"/>
              <w:left w:w="0" w:type="dxa"/>
              <w:bottom w:w="0" w:type="dxa"/>
              <w:right w:w="0" w:type="dxa"/>
            </w:tcMar>
            <w:vAlign w:val="center"/>
          </w:tcPr>
          <w:p>
            <w:pPr>
              <w:pStyle w:val="TableContents"/>
              <w:bidi w:val="0"/>
              <w:spacing w:before="0" w:after="283"/>
              <w:jc w:val="center"/>
              <w:rPr>
                <w:rFonts w:ascii="Times New Roman" w:hAnsi="Times New Roman"/>
                <w:color w:val="000000"/>
                <w:sz w:val="20"/>
              </w:rPr>
            </w:pPr>
            <w:r>
              <w:rPr>
                <w:rFonts w:ascii="Times New Roman" w:hAnsi="Times New Roman"/>
                <w:color w:val="000000"/>
                <w:sz w:val="20"/>
              </w:rPr>
              <w:t>The Nasdaq Global Select Market</w:t>
            </w:r>
          </w:p>
        </w:tc>
      </w:tr>
    </w:tbl>
    <w:p>
      <w:pPr>
        <w:pStyle w:val="TextBody"/>
        <w:bidi w:val="0"/>
        <w:spacing w:before="240" w:after="283"/>
        <w:jc w:val="left"/>
        <w:rPr>
          <w:rFonts w:ascii="Times New Roman" w:hAnsi="Times New Roman"/>
          <w:color w:val="000000"/>
          <w:sz w:val="20"/>
        </w:rPr>
      </w:pPr>
      <w:r>
        <w:rPr>
          <w:rFonts w:ascii="Times New Roman" w:hAnsi="Times New Roman"/>
          <w:color w:val="000000"/>
          <w:sz w:val="20"/>
        </w:rPr>
        <w:t xml:space="preserve">Indicate by check mark whether the registrant is an emerging growth company as defined in Rule 405 of the Securities Act of 1933 (§ 230.405 of this chapter) or Rule 12b-2 of the Securities Exchange Act of 1934 (§ 240.12b-2 of this chapter). </w:t>
      </w:r>
    </w:p>
    <w:p>
      <w:pPr>
        <w:pStyle w:val="TextBody"/>
        <w:bidi w:val="0"/>
        <w:spacing w:before="180" w:after="283"/>
        <w:jc w:val="left"/>
        <w:rPr>
          <w:rFonts w:ascii="Times New Roman" w:hAnsi="Times New Roman"/>
          <w:sz w:val="20"/>
        </w:rPr>
      </w:pPr>
      <w:r>
        <w:rPr>
          <w:rFonts w:ascii="Times New Roman" w:hAnsi="Times New Roman"/>
          <w:color w:val="000000"/>
          <w:sz w:val="20"/>
        </w:rPr>
        <w:t xml:space="preserve">Emerging growth company </w:t>
      </w:r>
      <w:r>
        <w:rPr>
          <w:rFonts w:ascii="Times New Roman" w:hAnsi="Times New Roman"/>
          <w:sz w:val="20"/>
        </w:rPr>
        <w:t>☐</w:t>
      </w:r>
    </w:p>
    <w:p>
      <w:pPr>
        <w:pStyle w:val="TextBody"/>
        <w:bidi w:val="0"/>
        <w:spacing w:before="180" w:after="283"/>
        <w:jc w:val="left"/>
        <w:rPr>
          <w:rFonts w:ascii="Times New Roman" w:hAnsi="Times New Roman"/>
          <w:sz w:val="20"/>
        </w:rPr>
      </w:pPr>
      <w:r>
        <w:rPr>
          <w:rFonts w:ascii="Times New Roman" w:hAnsi="Times New Roman"/>
          <w:color w:val="000000"/>
          <w:sz w:val="20"/>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Times New Roman" w:hAnsi="Times New Roman"/>
          <w:sz w:val="20"/>
        </w:rPr>
        <w:t>☐</w:t>
      </w:r>
    </w:p>
    <w:p>
      <w:pPr>
        <w:pStyle w:val="TextBody"/>
        <w:pBdr>
          <w:bottom w:val="double" w:sz="6" w:space="1" w:color="000000"/>
        </w:pBdr>
        <w:bidi w:val="0"/>
        <w:jc w:val="left"/>
        <w:rPr/>
      </w:pPr>
      <w:r>
        <w:rPr/>
        <w:t> </w:t>
      </w:r>
    </w:p>
    <w:p>
      <w:pPr>
        <w:pStyle w:val="HorizontalLine"/>
        <w:pBdr>
          <w:bottom w:val="double" w:sz="2" w:space="0" w:color="808080"/>
        </w:pBdr>
        <w:bidi w:val="0"/>
        <w:spacing w:before="0" w:after="283"/>
        <w:jc w:val="left"/>
        <w:rPr/>
      </w:pPr>
      <w:r>
        <w:rPr/>
      </w:r>
    </w:p>
    <w:p>
      <w:pPr>
        <w:pStyle w:val="TextBody"/>
        <w:bidi w:val="0"/>
        <w:spacing w:before="360" w:after="120"/>
        <w:jc w:val="left"/>
        <w:rPr/>
      </w:pPr>
      <w:r>
        <w:rPr/>
        <w:t> </w:t>
      </w:r>
    </w:p>
    <w:tbl>
      <w:tblPr>
        <w:tblW w:w="5057" w:type="dxa"/>
        <w:jc w:val="left"/>
        <w:tblInd w:w="0" w:type="dxa"/>
        <w:tblLayout w:type="fixed"/>
        <w:tblCellMar>
          <w:top w:w="28" w:type="dxa"/>
          <w:left w:w="28" w:type="dxa"/>
          <w:bottom w:w="28" w:type="dxa"/>
          <w:right w:w="28" w:type="dxa"/>
        </w:tblCellMar>
      </w:tblPr>
      <w:tblGrid>
        <w:gridCol w:w="961"/>
        <w:gridCol w:w="4096"/>
      </w:tblGrid>
      <w:tr>
        <w:trPr/>
        <w:tc>
          <w:tcPr>
            <w:tcW w:w="961" w:type="dxa"/>
            <w:tcBorders/>
            <w:vAlign w:val="center"/>
          </w:tcPr>
          <w:p>
            <w:pPr>
              <w:pStyle w:val="TableContents"/>
              <w:bidi w:val="0"/>
              <w:spacing w:before="0" w:after="283"/>
              <w:jc w:val="left"/>
              <w:rPr>
                <w:sz w:val="4"/>
                <w:szCs w:val="4"/>
              </w:rPr>
            </w:pPr>
            <w:r>
              <w:rPr>
                <w:sz w:val="4"/>
                <w:szCs w:val="4"/>
              </w:rPr>
            </w:r>
          </w:p>
        </w:tc>
        <w:tc>
          <w:tcPr>
            <w:tcW w:w="4096" w:type="dxa"/>
            <w:tcBorders/>
            <w:vAlign w:val="center"/>
          </w:tcPr>
          <w:p>
            <w:pPr>
              <w:pStyle w:val="TableContents"/>
              <w:bidi w:val="0"/>
              <w:spacing w:before="0" w:after="283"/>
              <w:jc w:val="left"/>
              <w:rPr>
                <w:sz w:val="4"/>
                <w:szCs w:val="4"/>
              </w:rPr>
            </w:pPr>
            <w:r>
              <w:rPr>
                <w:sz w:val="4"/>
                <w:szCs w:val="4"/>
              </w:rPr>
            </w:r>
          </w:p>
        </w:tc>
      </w:tr>
      <w:tr>
        <w:trPr/>
        <w:tc>
          <w:tcPr>
            <w:tcW w:w="96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Item 2.02.</w:t>
            </w:r>
          </w:p>
        </w:tc>
        <w:tc>
          <w:tcPr>
            <w:tcW w:w="409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Results of Operations and Financial Condition.</w:t>
            </w:r>
          </w:p>
        </w:tc>
      </w:tr>
    </w:tbl>
    <w:p>
      <w:pPr>
        <w:pStyle w:val="TextBody"/>
        <w:bidi w:val="0"/>
        <w:spacing w:before="120" w:after="283"/>
        <w:jc w:val="left"/>
        <w:rPr>
          <w:rFonts w:ascii="Times New Roman" w:hAnsi="Times New Roman"/>
          <w:color w:val="000000"/>
          <w:sz w:val="20"/>
        </w:rPr>
      </w:pPr>
      <w:r>
        <w:rPr>
          <w:rFonts w:ascii="Times New Roman" w:hAnsi="Times New Roman"/>
          <w:color w:val="000000"/>
          <w:sz w:val="20"/>
        </w:rPr>
        <w:t>On April 29, 2024, MicroStrategy Incorporated (the “Company”) issued a press release announcing the Company’s financial results for the quarter ended March 31, 2024. A copy of this press release is attached as Exhibit 99.1 to this Current Report on Form 8-K.</w:t>
      </w:r>
    </w:p>
    <w:p>
      <w:pPr>
        <w:pStyle w:val="TextBody"/>
        <w:bidi w:val="0"/>
        <w:jc w:val="left"/>
        <w:rPr/>
      </w:pPr>
      <w:r>
        <w:rPr/>
        <w:t> </w:t>
      </w:r>
    </w:p>
    <w:p>
      <w:pPr>
        <w:pStyle w:val="TextBody"/>
        <w:bidi w:val="0"/>
        <w:jc w:val="left"/>
        <w:rPr>
          <w:rFonts w:ascii="Times New Roman" w:hAnsi="Times New Roman"/>
          <w:color w:val="000000"/>
          <w:sz w:val="20"/>
        </w:rPr>
      </w:pPr>
      <w:r>
        <w:rPr>
          <w:rFonts w:ascii="Times New Roman" w:hAnsi="Times New Roman"/>
          <w:color w:val="000000"/>
          <w:sz w:val="20"/>
        </w:rPr>
        <w:t>The information disclosed pursuant to Item 2.02 in this Current Report on Form 8-K (including Exhibit 99.1) shall not be deemed “filed” for purposes of Section 18 of the Securities Exchange Act of 1934, as amended (the “Exchange Act”), or otherwise subject to the liabilities of that section, nor shall it be deemed incorporated by reference in any filing under the Securities Act of 1933, as amended, or the Exchange Act, except as expressly set forth by specific reference in such a filing.</w:t>
      </w:r>
    </w:p>
    <w:tbl>
      <w:tblPr>
        <w:tblW w:w="4037" w:type="dxa"/>
        <w:jc w:val="left"/>
        <w:tblInd w:w="0" w:type="dxa"/>
        <w:tblLayout w:type="fixed"/>
        <w:tblCellMar>
          <w:top w:w="28" w:type="dxa"/>
          <w:left w:w="28" w:type="dxa"/>
          <w:bottom w:w="28" w:type="dxa"/>
          <w:right w:w="28" w:type="dxa"/>
        </w:tblCellMar>
      </w:tblPr>
      <w:tblGrid>
        <w:gridCol w:w="961"/>
        <w:gridCol w:w="3076"/>
      </w:tblGrid>
      <w:tr>
        <w:trPr/>
        <w:tc>
          <w:tcPr>
            <w:tcW w:w="961" w:type="dxa"/>
            <w:tcBorders/>
            <w:vAlign w:val="center"/>
          </w:tcPr>
          <w:p>
            <w:pPr>
              <w:pStyle w:val="TableContents"/>
              <w:bidi w:val="0"/>
              <w:spacing w:before="0" w:after="283"/>
              <w:jc w:val="left"/>
              <w:rPr>
                <w:sz w:val="4"/>
                <w:szCs w:val="4"/>
              </w:rPr>
            </w:pPr>
            <w:r>
              <w:rPr>
                <w:sz w:val="4"/>
                <w:szCs w:val="4"/>
              </w:rPr>
            </w:r>
          </w:p>
        </w:tc>
        <w:tc>
          <w:tcPr>
            <w:tcW w:w="3076" w:type="dxa"/>
            <w:tcBorders/>
            <w:vAlign w:val="center"/>
          </w:tcPr>
          <w:p>
            <w:pPr>
              <w:pStyle w:val="TableContents"/>
              <w:bidi w:val="0"/>
              <w:spacing w:before="0" w:after="283"/>
              <w:jc w:val="left"/>
              <w:rPr>
                <w:sz w:val="4"/>
                <w:szCs w:val="4"/>
              </w:rPr>
            </w:pPr>
            <w:r>
              <w:rPr>
                <w:sz w:val="4"/>
                <w:szCs w:val="4"/>
              </w:rPr>
            </w:r>
          </w:p>
        </w:tc>
      </w:tr>
      <w:tr>
        <w:trPr/>
        <w:tc>
          <w:tcPr>
            <w:tcW w:w="96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Item 9.01.</w:t>
            </w:r>
          </w:p>
        </w:tc>
        <w:tc>
          <w:tcPr>
            <w:tcW w:w="307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Financial Statements and Exhibits.</w:t>
            </w:r>
          </w:p>
        </w:tc>
      </w:tr>
    </w:tbl>
    <w:p>
      <w:pPr>
        <w:pStyle w:val="TextBody"/>
        <w:bidi w:val="0"/>
        <w:spacing w:before="120" w:after="283"/>
        <w:jc w:val="left"/>
        <w:rPr>
          <w:rFonts w:ascii="Times New Roman" w:hAnsi="Times New Roman"/>
          <w:color w:val="000000"/>
          <w:sz w:val="20"/>
        </w:rPr>
      </w:pPr>
      <w:r>
        <w:rPr>
          <w:rFonts w:ascii="Times New Roman" w:hAnsi="Times New Roman"/>
          <w:color w:val="000000"/>
          <w:sz w:val="20"/>
        </w:rPr>
        <w:t>(d) Exhibits</w:t>
      </w:r>
    </w:p>
    <w:tbl>
      <w:tblPr>
        <w:tblW w:w="10205" w:type="dxa"/>
        <w:jc w:val="left"/>
        <w:tblInd w:w="0" w:type="dxa"/>
        <w:tblLayout w:type="fixed"/>
        <w:tblCellMar>
          <w:top w:w="28" w:type="dxa"/>
          <w:left w:w="28" w:type="dxa"/>
          <w:bottom w:w="28" w:type="dxa"/>
          <w:right w:w="28" w:type="dxa"/>
        </w:tblCellMar>
      </w:tblPr>
      <w:tblGrid>
        <w:gridCol w:w="736"/>
        <w:gridCol w:w="146"/>
        <w:gridCol w:w="9323"/>
      </w:tblGrid>
      <w:tr>
        <w:trPr/>
        <w:tc>
          <w:tcPr>
            <w:tcW w:w="73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9323" w:type="dxa"/>
            <w:tcBorders/>
            <w:vAlign w:val="center"/>
          </w:tcPr>
          <w:p>
            <w:pPr>
              <w:pStyle w:val="TableContents"/>
              <w:bidi w:val="0"/>
              <w:spacing w:before="0" w:after="283"/>
              <w:jc w:val="left"/>
              <w:rPr>
                <w:sz w:val="4"/>
                <w:szCs w:val="4"/>
              </w:rPr>
            </w:pPr>
            <w:r>
              <w:rPr>
                <w:sz w:val="4"/>
                <w:szCs w:val="4"/>
              </w:rPr>
            </w:r>
          </w:p>
        </w:tc>
      </w:tr>
      <w:tr>
        <w:trPr/>
        <w:tc>
          <w:tcPr>
            <w:tcW w:w="736" w:type="dxa"/>
            <w:tcBorders/>
            <w:tcMar>
              <w:top w:w="0" w:type="dxa"/>
              <w:left w:w="0" w:type="dxa"/>
              <w:bottom w:w="0" w:type="dxa"/>
              <w:right w:w="0" w:type="dxa"/>
            </w:tcMar>
            <w:vAlign w:val="center"/>
          </w:tcPr>
          <w:p>
            <w:pPr>
              <w:pStyle w:val="TableContents"/>
              <w:bidi w:val="0"/>
              <w:spacing w:before="0" w:after="283"/>
              <w:jc w:val="left"/>
              <w:rPr/>
            </w:pPr>
            <w:r>
              <w:rPr/>
              <w:t> </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323" w:type="dxa"/>
            <w:tcBorders/>
            <w:tcMar>
              <w:top w:w="0" w:type="dxa"/>
              <w:left w:w="0" w:type="dxa"/>
              <w:bottom w:w="0" w:type="dxa"/>
              <w:right w:w="0" w:type="dxa"/>
            </w:tcMar>
            <w:vAlign w:val="center"/>
          </w:tcPr>
          <w:p>
            <w:pPr>
              <w:pStyle w:val="TableContents"/>
              <w:bidi w:val="0"/>
              <w:spacing w:before="0" w:after="283"/>
              <w:jc w:val="left"/>
              <w:rPr/>
            </w:pPr>
            <w:r>
              <w:rPr/>
              <w:t> </w:t>
            </w:r>
          </w:p>
        </w:tc>
      </w:tr>
      <w:tr>
        <w:trPr/>
        <w:tc>
          <w:tcPr>
            <w:tcW w:w="736" w:type="dxa"/>
            <w:tcBorders/>
            <w:tcMar>
              <w:top w:w="0" w:type="dxa"/>
              <w:left w:w="0" w:type="dxa"/>
              <w:bottom w:w="0" w:type="dxa"/>
              <w:right w:w="0" w:type="dxa"/>
            </w:tcMar>
            <w:vAlign w:val="center"/>
          </w:tcPr>
          <w:p>
            <w:pPr>
              <w:pStyle w:val="TableContents"/>
              <w:pBdr>
                <w:bottom w:val="single" w:sz="8" w:space="1" w:color="000000"/>
              </w:pBdr>
              <w:bidi w:val="0"/>
              <w:spacing w:before="0" w:after="283"/>
              <w:jc w:val="center"/>
              <w:rPr>
                <w:rFonts w:ascii="Times New Roman" w:hAnsi="Times New Roman"/>
                <w:color w:val="000000"/>
                <w:sz w:val="20"/>
              </w:rPr>
            </w:pPr>
            <w:r>
              <w:rPr>
                <w:rFonts w:ascii="Times New Roman" w:hAnsi="Times New Roman"/>
                <w:color w:val="000000"/>
                <w:sz w:val="20"/>
              </w:rPr>
              <w:t>Exhibit</w:t>
              <w:br/>
              <w:t>No.</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323" w:type="dxa"/>
            <w:tcBorders/>
            <w:tcMar>
              <w:top w:w="0" w:type="dxa"/>
              <w:left w:w="0" w:type="dxa"/>
              <w:bottom w:w="0" w:type="dxa"/>
              <w:right w:w="0" w:type="dxa"/>
            </w:tcMar>
            <w:vAlign w:val="center"/>
          </w:tcPr>
          <w:p>
            <w:pPr>
              <w:pStyle w:val="TableContents"/>
              <w:bidi w:val="0"/>
              <w:jc w:val="left"/>
              <w:rPr/>
            </w:pPr>
            <w:r>
              <w:rPr/>
              <w:t> </w:t>
            </w:r>
          </w:p>
          <w:p>
            <w:pPr>
              <w:pStyle w:val="TableContents"/>
              <w:pBdr>
                <w:bottom w:val="single" w:sz="8" w:space="1" w:color="000000"/>
              </w:pBdr>
              <w:bidi w:val="0"/>
              <w:spacing w:before="0" w:after="283"/>
              <w:jc w:val="left"/>
              <w:rPr>
                <w:rFonts w:ascii="Times New Roman" w:hAnsi="Times New Roman"/>
                <w:color w:val="000000"/>
                <w:sz w:val="20"/>
              </w:rPr>
            </w:pPr>
            <w:r>
              <w:rPr>
                <w:rFonts w:ascii="Times New Roman" w:hAnsi="Times New Roman"/>
                <w:color w:val="000000"/>
                <w:sz w:val="20"/>
              </w:rPr>
              <w:t>Description</w:t>
            </w:r>
          </w:p>
        </w:tc>
      </w:tr>
      <w:tr>
        <w:trPr/>
        <w:tc>
          <w:tcPr>
            <w:tcW w:w="736" w:type="dxa"/>
            <w:tcBorders/>
            <w:tcMar>
              <w:top w:w="0" w:type="dxa"/>
              <w:left w:w="0" w:type="dxa"/>
              <w:bottom w:w="0" w:type="dxa"/>
              <w:right w:w="0" w:type="dxa"/>
            </w:tcMar>
            <w:vAlign w:val="center"/>
          </w:tcPr>
          <w:p>
            <w:pPr>
              <w:pStyle w:val="TableContents"/>
              <w:bidi w:val="0"/>
              <w:spacing w:before="0" w:after="283"/>
              <w:jc w:val="left"/>
              <w:rPr/>
            </w:pPr>
            <w:r>
              <w:rPr/>
              <w:t> </w:t>
            </w:r>
          </w:p>
        </w:tc>
        <w:tc>
          <w:tcPr>
            <w:tcW w:w="9469" w:type="dxa"/>
            <w:gridSpan w:val="2"/>
            <w:tcBorders/>
            <w:tcMar>
              <w:top w:w="0" w:type="dxa"/>
              <w:left w:w="0" w:type="dxa"/>
              <w:bottom w:w="0" w:type="dxa"/>
              <w:right w:w="0" w:type="dxa"/>
            </w:tcMar>
            <w:vAlign w:val="center"/>
          </w:tcPr>
          <w:p>
            <w:pPr>
              <w:pStyle w:val="TableContents"/>
              <w:bidi w:val="0"/>
              <w:spacing w:before="0" w:after="283"/>
              <w:jc w:val="left"/>
              <w:rPr/>
            </w:pPr>
            <w:r>
              <w:rPr/>
              <w:t> </w:t>
            </w:r>
          </w:p>
        </w:tc>
      </w:tr>
      <w:tr>
        <w:trPr/>
        <w:tc>
          <w:tcPr>
            <w:tcW w:w="73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99.1</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323" w:type="dxa"/>
            <w:tcBorders/>
            <w:tcMar>
              <w:top w:w="0" w:type="dxa"/>
              <w:left w:w="0" w:type="dxa"/>
              <w:bottom w:w="0" w:type="dxa"/>
              <w:right w:w="0" w:type="dxa"/>
            </w:tcMar>
            <w:vAlign w:val="center"/>
          </w:tcPr>
          <w:p>
            <w:pPr>
              <w:pStyle w:val="TableContents"/>
              <w:bidi w:val="0"/>
              <w:spacing w:before="0" w:after="283"/>
              <w:jc w:val="left"/>
              <w:rPr/>
            </w:pPr>
            <w:hyperlink w:anchor="mstr-ex99_1.htm">
              <w:r>
                <w:rPr>
                  <w:rStyle w:val="InternetLink"/>
                  <w:rFonts w:ascii="Times New Roman" w:hAnsi="Times New Roman"/>
                  <w:color w:val="0000FF"/>
                  <w:sz w:val="20"/>
                  <w:u w:val="single"/>
                </w:rPr>
                <w:t>Press release, dated April 29, 2024, regarding the Company’s financial results for the quarter ended March 31, 2024.</w:t>
              </w:r>
            </w:hyperlink>
          </w:p>
        </w:tc>
      </w:tr>
      <w:tr>
        <w:trPr/>
        <w:tc>
          <w:tcPr>
            <w:tcW w:w="736" w:type="dxa"/>
            <w:tcBorders/>
            <w:tcMar>
              <w:top w:w="0" w:type="dxa"/>
              <w:left w:w="0" w:type="dxa"/>
              <w:bottom w:w="0" w:type="dxa"/>
              <w:right w:w="0" w:type="dxa"/>
            </w:tcMar>
            <w:vAlign w:val="center"/>
          </w:tcPr>
          <w:p>
            <w:pPr>
              <w:pStyle w:val="TableContents"/>
              <w:bidi w:val="0"/>
              <w:spacing w:before="0" w:after="283"/>
              <w:jc w:val="left"/>
              <w:rPr/>
            </w:pPr>
            <w:r>
              <w:rPr/>
              <w:t> </w:t>
            </w:r>
          </w:p>
        </w:tc>
        <w:tc>
          <w:tcPr>
            <w:tcW w:w="9469" w:type="dxa"/>
            <w:gridSpan w:val="2"/>
            <w:tcBorders/>
            <w:tcMar>
              <w:top w:w="0" w:type="dxa"/>
              <w:left w:w="0" w:type="dxa"/>
              <w:bottom w:w="0" w:type="dxa"/>
              <w:right w:w="0" w:type="dxa"/>
            </w:tcMar>
            <w:vAlign w:val="center"/>
          </w:tcPr>
          <w:p>
            <w:pPr>
              <w:pStyle w:val="TableContents"/>
              <w:bidi w:val="0"/>
              <w:spacing w:before="0" w:after="283"/>
              <w:jc w:val="left"/>
              <w:rPr/>
            </w:pPr>
            <w:r>
              <w:rPr/>
              <w:t> </w:t>
            </w:r>
          </w:p>
        </w:tc>
      </w:tr>
      <w:tr>
        <w:trPr/>
        <w:tc>
          <w:tcPr>
            <w:tcW w:w="73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104</w:t>
            </w:r>
          </w:p>
        </w:tc>
        <w:tc>
          <w:tcPr>
            <w:tcW w:w="146" w:type="dxa"/>
            <w:tcBorders/>
            <w:tcMar>
              <w:top w:w="0" w:type="dxa"/>
              <w:left w:w="0" w:type="dxa"/>
              <w:bottom w:w="0" w:type="dxa"/>
              <w:right w:w="0" w:type="dxa"/>
            </w:tcMar>
            <w:vAlign w:val="center"/>
          </w:tcPr>
          <w:p>
            <w:pPr>
              <w:pStyle w:val="TableContents"/>
              <w:bidi w:val="0"/>
              <w:spacing w:before="0" w:after="283"/>
              <w:jc w:val="left"/>
              <w:rPr/>
            </w:pPr>
            <w:r>
              <w:rPr/>
              <w:t> </w:t>
            </w:r>
          </w:p>
        </w:tc>
        <w:tc>
          <w:tcPr>
            <w:tcW w:w="9323"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Cover Page Interactive Data File (embedded within the Inline XBRL document).</w:t>
            </w:r>
          </w:p>
        </w:tc>
      </w:tr>
    </w:tbl>
    <w:p>
      <w:pPr>
        <w:pStyle w:val="TextBody"/>
        <w:bidi w:val="0"/>
        <w:jc w:val="left"/>
        <w:rPr>
          <w:rFonts w:ascii="Times New Roman" w:hAnsi="Times New Roman"/>
          <w:color w:val="000000"/>
          <w:sz w:val="20"/>
        </w:rPr>
      </w:pPr>
      <w:r>
        <w:rPr>
          <w:rFonts w:ascii="Times New Roman" w:hAnsi="Times New Roman"/>
          <w:color w:val="000000"/>
          <w:sz w:val="20"/>
        </w:rPr>
        <w:br/>
        <w:t> </w:t>
      </w:r>
    </w:p>
    <w:p>
      <w:pPr>
        <w:pStyle w:val="TextBody"/>
        <w:bidi w:val="0"/>
        <w:jc w:val="left"/>
        <w:rPr/>
      </w:pPr>
      <w:r>
        <w:rPr/>
        <w:t> </w:t>
      </w:r>
    </w:p>
    <w:p>
      <w:pPr>
        <w:pStyle w:val="TextBody"/>
        <w:bidi w:val="0"/>
        <w:jc w:val="left"/>
        <w:rPr/>
      </w:pPr>
      <w:r>
        <w:rPr/>
        <w:t> </w:t>
      </w:r>
    </w:p>
    <w:p>
      <w:pPr>
        <w:pStyle w:val="TextBody"/>
        <w:bidi w:val="0"/>
        <w:jc w:val="left"/>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spacing w:before="0" w:after="187"/>
        <w:jc w:val="center"/>
        <w:rPr>
          <w:rFonts w:ascii="Times New Roman" w:hAnsi="Times New Roman"/>
          <w:b/>
          <w:color w:val="000000"/>
          <w:sz w:val="20"/>
        </w:rPr>
      </w:pPr>
      <w:r>
        <w:rPr>
          <w:rFonts w:ascii="Times New Roman" w:hAnsi="Times New Roman"/>
          <w:b/>
          <w:color w:val="000000"/>
          <w:sz w:val="20"/>
        </w:rPr>
        <w:t>SIGNATURE</w:t>
      </w:r>
    </w:p>
    <w:p>
      <w:pPr>
        <w:pStyle w:val="TextBody"/>
        <w:bidi w:val="0"/>
        <w:spacing w:before="0" w:after="187"/>
        <w:jc w:val="left"/>
        <w:rPr>
          <w:rFonts w:ascii="Times New Roman" w:hAnsi="Times New Roman"/>
          <w:color w:val="000000"/>
          <w:sz w:val="20"/>
        </w:rPr>
      </w:pPr>
      <w:r>
        <w:rPr>
          <w:rFonts w:ascii="Times New Roman" w:hAnsi="Times New Roman"/>
          <w:color w:val="000000"/>
          <w:sz w:val="20"/>
        </w:rPr>
        <w:t>Pursuant to the requirements of the Securities Exchange Act of 1934, as amended, the Registrant has duly caused this report to be signed on its behalf by the undersigned hereunto duly authorized.</w:t>
      </w:r>
    </w:p>
    <w:tbl>
      <w:tblPr>
        <w:tblW w:w="7159" w:type="dxa"/>
        <w:jc w:val="left"/>
        <w:tblInd w:w="0" w:type="dxa"/>
        <w:tblLayout w:type="fixed"/>
        <w:tblCellMar>
          <w:top w:w="28" w:type="dxa"/>
          <w:left w:w="28" w:type="dxa"/>
          <w:bottom w:w="28" w:type="dxa"/>
          <w:right w:w="28" w:type="dxa"/>
        </w:tblCellMar>
      </w:tblPr>
      <w:tblGrid>
        <w:gridCol w:w="556"/>
        <w:gridCol w:w="1291"/>
        <w:gridCol w:w="451"/>
        <w:gridCol w:w="4861"/>
      </w:tblGrid>
      <w:tr>
        <w:trPr/>
        <w:tc>
          <w:tcPr>
            <w:tcW w:w="556" w:type="dxa"/>
            <w:tcBorders/>
            <w:vAlign w:val="center"/>
          </w:tcPr>
          <w:p>
            <w:pPr>
              <w:pStyle w:val="TableContents"/>
              <w:bidi w:val="0"/>
              <w:spacing w:before="0" w:after="283"/>
              <w:jc w:val="left"/>
              <w:rPr>
                <w:sz w:val="4"/>
                <w:szCs w:val="4"/>
              </w:rPr>
            </w:pPr>
            <w:r>
              <w:rPr>
                <w:sz w:val="4"/>
                <w:szCs w:val="4"/>
              </w:rPr>
            </w:r>
          </w:p>
        </w:tc>
        <w:tc>
          <w:tcPr>
            <w:tcW w:w="1291" w:type="dxa"/>
            <w:tcBorders/>
            <w:vAlign w:val="center"/>
          </w:tcPr>
          <w:p>
            <w:pPr>
              <w:pStyle w:val="TableContents"/>
              <w:bidi w:val="0"/>
              <w:spacing w:before="0" w:after="283"/>
              <w:jc w:val="left"/>
              <w:rPr>
                <w:sz w:val="4"/>
                <w:szCs w:val="4"/>
              </w:rPr>
            </w:pPr>
            <w:r>
              <w:rPr>
                <w:sz w:val="4"/>
                <w:szCs w:val="4"/>
              </w:rPr>
            </w:r>
          </w:p>
        </w:tc>
        <w:tc>
          <w:tcPr>
            <w:tcW w:w="451" w:type="dxa"/>
            <w:tcBorders/>
            <w:vAlign w:val="center"/>
          </w:tcPr>
          <w:p>
            <w:pPr>
              <w:pStyle w:val="TableContents"/>
              <w:bidi w:val="0"/>
              <w:spacing w:before="0" w:after="283"/>
              <w:jc w:val="left"/>
              <w:rPr>
                <w:sz w:val="4"/>
                <w:szCs w:val="4"/>
              </w:rPr>
            </w:pPr>
            <w:r>
              <w:rPr>
                <w:sz w:val="4"/>
                <w:szCs w:val="4"/>
              </w:rPr>
            </w:r>
          </w:p>
        </w:tc>
        <w:tc>
          <w:tcPr>
            <w:tcW w:w="4861" w:type="dxa"/>
            <w:tcBorders/>
            <w:vAlign w:val="center"/>
          </w:tcPr>
          <w:p>
            <w:pPr>
              <w:pStyle w:val="TableContents"/>
              <w:bidi w:val="0"/>
              <w:spacing w:before="0" w:after="283"/>
              <w:jc w:val="left"/>
              <w:rPr>
                <w:sz w:val="4"/>
                <w:szCs w:val="4"/>
              </w:rPr>
            </w:pPr>
            <w:r>
              <w:rPr>
                <w:sz w:val="4"/>
                <w:szCs w:val="4"/>
              </w:rPr>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29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MicroStrategy Incorporated</w:t>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29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 xml:space="preserve">(Registrant) </w:t>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29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0" w:after="283"/>
              <w:jc w:val="left"/>
              <w:rPr/>
            </w:pPr>
            <w:r>
              <w:rPr/>
              <w:t> </w:t>
            </w:r>
          </w:p>
        </w:tc>
      </w:tr>
      <w:tr>
        <w:trPr/>
        <w:tc>
          <w:tcPr>
            <w:tcW w:w="556"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Date:</w:t>
            </w:r>
          </w:p>
        </w:tc>
        <w:tc>
          <w:tcPr>
            <w:tcW w:w="129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April 29, 2024</w:t>
            </w:r>
          </w:p>
        </w:tc>
        <w:tc>
          <w:tcPr>
            <w:tcW w:w="451" w:type="dxa"/>
            <w:tcBorders/>
            <w:tcMar>
              <w:top w:w="0" w:type="dxa"/>
              <w:left w:w="0" w:type="dxa"/>
              <w:bottom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 xml:space="preserve">By: </w:t>
            </w:r>
          </w:p>
        </w:tc>
        <w:tc>
          <w:tcPr>
            <w:tcW w:w="4861" w:type="dxa"/>
            <w:tcBorders>
              <w:bottom w:val="single" w:sz="2" w:space="0" w:color="000000"/>
            </w:tcBorders>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/s/ Andrew Kang</w:t>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29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14" w:after="283"/>
              <w:jc w:val="left"/>
              <w:rPr>
                <w:rFonts w:ascii="Times New Roman" w:hAnsi="Times New Roman"/>
                <w:color w:val="000000"/>
                <w:sz w:val="20"/>
              </w:rPr>
            </w:pPr>
            <w:r>
              <w:rPr>
                <w:rFonts w:ascii="Times New Roman" w:hAnsi="Times New Roman"/>
                <w:color w:val="000000"/>
                <w:sz w:val="20"/>
              </w:rPr>
              <w:t>Andrew Kang</w:t>
            </w:r>
          </w:p>
        </w:tc>
      </w:tr>
      <w:tr>
        <w:trPr/>
        <w:tc>
          <w:tcPr>
            <w:tcW w:w="556" w:type="dxa"/>
            <w:tcBorders/>
            <w:tcMar>
              <w:top w:w="0" w:type="dxa"/>
              <w:left w:w="0" w:type="dxa"/>
              <w:bottom w:w="0" w:type="dxa"/>
              <w:right w:w="0" w:type="dxa"/>
            </w:tcMar>
            <w:vAlign w:val="center"/>
          </w:tcPr>
          <w:p>
            <w:pPr>
              <w:pStyle w:val="TableContents"/>
              <w:bidi w:val="0"/>
              <w:spacing w:before="0" w:after="283"/>
              <w:jc w:val="left"/>
              <w:rPr/>
            </w:pPr>
            <w:r>
              <w:rPr/>
              <w:t> </w:t>
            </w:r>
          </w:p>
        </w:tc>
        <w:tc>
          <w:tcPr>
            <w:tcW w:w="1291" w:type="dxa"/>
            <w:tcBorders/>
            <w:tcMar>
              <w:top w:w="0" w:type="dxa"/>
              <w:left w:w="0" w:type="dxa"/>
              <w:bottom w:w="0" w:type="dxa"/>
              <w:right w:w="0" w:type="dxa"/>
            </w:tcMar>
            <w:vAlign w:val="center"/>
          </w:tcPr>
          <w:p>
            <w:pPr>
              <w:pStyle w:val="TableContents"/>
              <w:bidi w:val="0"/>
              <w:spacing w:before="0" w:after="283"/>
              <w:jc w:val="left"/>
              <w:rPr/>
            </w:pPr>
            <w:r>
              <w:rPr/>
              <w:t> </w:t>
            </w:r>
          </w:p>
        </w:tc>
        <w:tc>
          <w:tcPr>
            <w:tcW w:w="451" w:type="dxa"/>
            <w:tcBorders/>
            <w:tcMar>
              <w:top w:w="0" w:type="dxa"/>
              <w:left w:w="0" w:type="dxa"/>
              <w:bottom w:w="0" w:type="dxa"/>
              <w:right w:w="0" w:type="dxa"/>
            </w:tcMar>
            <w:vAlign w:val="center"/>
          </w:tcPr>
          <w:p>
            <w:pPr>
              <w:pStyle w:val="TableContents"/>
              <w:bidi w:val="0"/>
              <w:spacing w:before="0" w:after="283"/>
              <w:jc w:val="left"/>
              <w:rPr/>
            </w:pPr>
            <w:r>
              <w:rPr/>
              <w:t> </w:t>
            </w:r>
          </w:p>
        </w:tc>
        <w:tc>
          <w:tcPr>
            <w:tcW w:w="4861" w:type="dxa"/>
            <w:tcBorders/>
            <w:tcMar>
              <w:top w:w="0" w:type="dxa"/>
              <w:left w:w="0" w:type="dxa"/>
              <w:bottom w:w="0" w:type="dxa"/>
              <w:right w:w="0" w:type="dxa"/>
            </w:tcMar>
            <w:vAlign w:val="center"/>
          </w:tcPr>
          <w:p>
            <w:pPr>
              <w:pStyle w:val="TableContents"/>
              <w:bidi w:val="0"/>
              <w:spacing w:before="14" w:after="283"/>
              <w:jc w:val="left"/>
              <w:rPr>
                <w:rFonts w:ascii="Times New Roman" w:hAnsi="Times New Roman"/>
                <w:color w:val="000000"/>
                <w:sz w:val="20"/>
              </w:rPr>
            </w:pPr>
            <w:r>
              <w:rPr>
                <w:rFonts w:ascii="Times New Roman" w:hAnsi="Times New Roman"/>
                <w:color w:val="000000"/>
                <w:sz w:val="20"/>
              </w:rPr>
              <w:t>Senior Executive Vice President &amp; Chief Financial Officer</w:t>
            </w:r>
          </w:p>
        </w:tc>
      </w:tr>
    </w:tbl>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right"/>
        <w:rPr>
          <w:rFonts w:ascii="Times New Roman" w:hAnsi="Times New Roman"/>
          <w:b/>
          <w:color w:val="000000"/>
          <w:sz w:val="20"/>
        </w:rPr>
      </w:pPr>
      <w:bookmarkStart w:id="2" w:name="exhibit_991"/>
      <w:bookmarkStart w:id="3" w:name="mstr-ex99_1.htm"/>
      <w:bookmarkStart w:id="4" w:name="ksmstrex99_1"/>
      <w:bookmarkEnd w:id="2"/>
      <w:bookmarkEnd w:id="3"/>
      <w:bookmarkEnd w:id="4"/>
      <w:r>
        <w:rPr>
          <w:rFonts w:ascii="Times New Roman" w:hAnsi="Times New Roman"/>
          <w:b/>
          <w:color w:val="000000"/>
          <w:sz w:val="20"/>
        </w:rPr>
        <w:t>Exhibit 99.1</w:t>
      </w:r>
      <w:r>
        <w:br w:type="page"/>
      </w:r>
    </w:p>
    <w:p>
      <w:pPr>
        <w:pStyle w:val="TextBody"/>
        <w:bidi w:val="0"/>
        <w:spacing w:before="40" w:after="283"/>
        <w:jc w:val="both"/>
        <w:rPr/>
      </w:pPr>
      <w:r>
        <w:rPr/>
        <w:t> </w:t>
      </w:r>
    </w:p>
    <w:p>
      <w:pPr>
        <w:pStyle w:val="TextBody"/>
        <w:bidi w:val="0"/>
        <w:spacing w:before="40" w:after="283"/>
        <w:jc w:val="both"/>
        <w:rPr>
          <w:rFonts w:ascii="Times New Roman" w:hAnsi="Times New Roman"/>
          <w:b/>
          <w:color w:val="000000"/>
          <w:sz w:val="20"/>
        </w:rPr>
      </w:pPr>
      <w:r>
        <w:rPr>
          <w:rFonts w:ascii="Times New Roman" w:hAnsi="Times New Roman"/>
          <w:b/>
          <w:color w:val="000000"/>
          <w:sz w:val="20"/>
        </w:rPr>
        <w:t>Contact:</w:t>
      </w:r>
    </w:p>
    <w:p>
      <w:pPr>
        <w:pStyle w:val="TextBody"/>
        <w:bidi w:val="0"/>
        <w:jc w:val="both"/>
        <w:rPr>
          <w:rFonts w:ascii="Times New Roman" w:hAnsi="Times New Roman"/>
          <w:color w:val="000000"/>
          <w:sz w:val="20"/>
        </w:rPr>
      </w:pPr>
      <w:r>
        <w:rPr>
          <w:rFonts w:ascii="Times New Roman" w:hAnsi="Times New Roman"/>
          <w:color w:val="000000"/>
          <w:sz w:val="20"/>
        </w:rPr>
        <w:t>MicroStrategy Incorporated</w:t>
      </w:r>
    </w:p>
    <w:p>
      <w:pPr>
        <w:pStyle w:val="TextBody"/>
        <w:bidi w:val="0"/>
        <w:jc w:val="both"/>
        <w:rPr>
          <w:rFonts w:ascii="Times New Roman" w:hAnsi="Times New Roman"/>
          <w:color w:val="000000"/>
          <w:sz w:val="20"/>
        </w:rPr>
      </w:pPr>
      <w:r>
        <w:rPr>
          <w:rFonts w:ascii="Times New Roman" w:hAnsi="Times New Roman"/>
          <w:color w:val="000000"/>
          <w:sz w:val="20"/>
        </w:rPr>
        <w:t>Shirish Jajodia</w:t>
      </w:r>
    </w:p>
    <w:p>
      <w:pPr>
        <w:pStyle w:val="TextBody"/>
        <w:bidi w:val="0"/>
        <w:jc w:val="both"/>
        <w:rPr>
          <w:rFonts w:ascii="Times New Roman" w:hAnsi="Times New Roman"/>
          <w:color w:val="000000"/>
          <w:sz w:val="20"/>
        </w:rPr>
      </w:pPr>
      <w:r>
        <w:rPr>
          <w:rFonts w:ascii="Times New Roman" w:hAnsi="Times New Roman"/>
          <w:color w:val="000000"/>
          <w:sz w:val="20"/>
        </w:rPr>
        <w:t>Investor Relations</w:t>
      </w:r>
    </w:p>
    <w:p>
      <w:pPr>
        <w:pStyle w:val="TextBody"/>
        <w:bidi w:val="0"/>
        <w:jc w:val="both"/>
        <w:rPr>
          <w:rFonts w:ascii="Times New Roman" w:hAnsi="Times New Roman"/>
          <w:color w:val="000000"/>
          <w:sz w:val="20"/>
        </w:rPr>
      </w:pPr>
      <w:r>
        <w:rPr>
          <w:rFonts w:ascii="Times New Roman" w:hAnsi="Times New Roman"/>
          <w:color w:val="000000"/>
          <w:sz w:val="20"/>
        </w:rPr>
        <w:t>ir@microstrategy.com</w:t>
      </w:r>
    </w:p>
    <w:p>
      <w:pPr>
        <w:pStyle w:val="TextBody"/>
        <w:bidi w:val="0"/>
        <w:jc w:val="center"/>
        <w:rPr>
          <w:rFonts w:ascii="Times New Roman" w:hAnsi="Times New Roman"/>
          <w:sz w:val="20"/>
        </w:rPr>
      </w:pPr>
      <w:r>
        <w:rPr>
          <w:rFonts w:ascii="Times New Roman" w:hAnsi="Times New Roman"/>
          <w:b/>
          <w:color w:val="000000"/>
          <w:sz w:val="32"/>
        </w:rPr>
        <w:t>MicroStrategy Announces</w:t>
      </w:r>
      <w:r>
        <w:rPr>
          <w:rFonts w:ascii="Times New Roman" w:hAnsi="Times New Roman"/>
          <w:color w:val="000000"/>
          <w:sz w:val="20"/>
        </w:rPr>
        <w:t xml:space="preserve"> </w:t>
      </w:r>
    </w:p>
    <w:p>
      <w:pPr>
        <w:pStyle w:val="TextBody"/>
        <w:bidi w:val="0"/>
        <w:jc w:val="center"/>
        <w:rPr>
          <w:rFonts w:ascii="Times New Roman" w:hAnsi="Times New Roman"/>
          <w:b/>
          <w:color w:val="000000"/>
          <w:sz w:val="32"/>
        </w:rPr>
      </w:pPr>
      <w:r>
        <w:rPr>
          <w:rFonts w:ascii="Times New Roman" w:hAnsi="Times New Roman"/>
          <w:b/>
          <w:color w:val="000000"/>
          <w:sz w:val="32"/>
        </w:rPr>
        <w:t>First Quarter 2024 Financial Results; Now Holds 214,400 BTC</w:t>
      </w:r>
    </w:p>
    <w:p>
      <w:pPr>
        <w:pStyle w:val="TextBody"/>
        <w:bidi w:val="0"/>
        <w:jc w:val="center"/>
        <w:rPr/>
      </w:pPr>
      <w:r>
        <w:rPr/>
        <w:t> </w:t>
      </w:r>
    </w:p>
    <w:p>
      <w:pPr>
        <w:pStyle w:val="TextBody"/>
        <w:bidi w:val="0"/>
        <w:spacing w:before="0" w:after="0"/>
        <w:jc w:val="both"/>
        <w:rPr>
          <w:color w:val="000000"/>
        </w:rPr>
      </w:pPr>
      <w:r>
        <w:rPr>
          <w:color w:val="000000"/>
        </w:rPr>
        <w:t>•</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25,250 bitcoins acquired since the end of Q4 for $1.65 billion, or $65,232 per bitcoin</w:t>
      </w:r>
    </w:p>
    <w:p>
      <w:pPr>
        <w:pStyle w:val="TextBody"/>
        <w:bidi w:val="0"/>
        <w:spacing w:before="0" w:after="0"/>
        <w:jc w:val="both"/>
        <w:rPr>
          <w:color w:val="000000"/>
        </w:rPr>
      </w:pPr>
      <w:r>
        <w:rPr>
          <w:color w:val="000000"/>
        </w:rPr>
        <w:t>•</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214,400 bitcoin holdings at a total cost of $7.54 billion, or $35,180 per bitcoin, as of April 26, 2024</w:t>
      </w:r>
    </w:p>
    <w:p>
      <w:pPr>
        <w:pStyle w:val="TextBody"/>
        <w:bidi w:val="0"/>
        <w:spacing w:before="0" w:after="0"/>
        <w:jc w:val="both"/>
        <w:rPr>
          <w:color w:val="000000"/>
        </w:rPr>
      </w:pPr>
      <w:r>
        <w:rPr>
          <w:color w:val="000000"/>
        </w:rPr>
        <w:t>•</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 xml:space="preserve">Total Revenues of $115.2 million, down 5% year-over-year </w:t>
      </w:r>
    </w:p>
    <w:p>
      <w:pPr>
        <w:pStyle w:val="TextBody"/>
        <w:bidi w:val="0"/>
        <w:spacing w:before="0" w:after="0"/>
        <w:jc w:val="both"/>
        <w:rPr>
          <w:color w:val="000000"/>
        </w:rPr>
      </w:pPr>
      <w:r>
        <w:rPr>
          <w:color w:val="000000"/>
        </w:rPr>
        <w:t>•</w:t>
      </w:r>
    </w:p>
    <w:p>
      <w:pPr>
        <w:pStyle w:val="TextBody"/>
        <w:bidi w:val="0"/>
        <w:jc w:val="both"/>
        <w:rPr>
          <w:rFonts w:ascii="Times New Roman" w:hAnsi="Times New Roman"/>
          <w:color w:val="000000"/>
          <w:sz w:val="20"/>
        </w:rPr>
      </w:pPr>
      <w:r>
        <w:rPr>
          <w:rFonts w:ascii="Times New Roman" w:hAnsi="Times New Roman"/>
          <w:color w:val="000000"/>
          <w:sz w:val="20"/>
        </w:rPr>
        <w:t>Subscription Services Revenues of $23.0 million, up 22% year-over-year</w:t>
      </w:r>
    </w:p>
    <w:p>
      <w:pPr>
        <w:pStyle w:val="TextBody"/>
        <w:bidi w:val="0"/>
        <w:spacing w:before="240" w:after="283"/>
        <w:jc w:val="both"/>
        <w:rPr>
          <w:rFonts w:ascii="Times New Roman" w:hAnsi="Times New Roman"/>
          <w:sz w:val="20"/>
        </w:rPr>
      </w:pPr>
      <w:r>
        <w:rPr>
          <w:rFonts w:ascii="Times New Roman" w:hAnsi="Times New Roman"/>
          <w:color w:val="000000"/>
          <w:sz w:val="20"/>
        </w:rPr>
        <w:t xml:space="preserve">TYSONS CORNER, Va., April 29, 2024 - </w:t>
      </w:r>
      <w:r>
        <w:rPr>
          <w:rFonts w:ascii="Times New Roman" w:hAnsi="Times New Roman"/>
          <w:sz w:val="20"/>
        </w:rPr>
        <w:t>MicroStrategy</w:t>
      </w:r>
      <w:r>
        <w:rPr>
          <w:rFonts w:ascii="Times New Roman" w:hAnsi="Times New Roman"/>
          <w:sz w:val="13"/>
        </w:rPr>
        <w:t>®</w:t>
      </w:r>
      <w:r>
        <w:rPr>
          <w:rFonts w:ascii="Times New Roman" w:hAnsi="Times New Roman"/>
          <w:sz w:val="20"/>
        </w:rPr>
        <w:t xml:space="preserve"> Incorporated</w:t>
      </w:r>
      <w:r>
        <w:rPr>
          <w:rFonts w:ascii="Times New Roman" w:hAnsi="Times New Roman"/>
          <w:color w:val="000000"/>
          <w:sz w:val="20"/>
        </w:rPr>
        <w:t xml:space="preserve"> (Nasdaq: MSTR) (“MicroStrategy” or the “Company”), the largest corporate holder of bitcoin and the largest independent publicly-traded business intelligence company, today announced financial results for the three-month period ended March 31, 2024 (the first quarter of its 2024 fiscal year).</w:t>
      </w:r>
    </w:p>
    <w:p>
      <w:pPr>
        <w:pStyle w:val="TextBody"/>
        <w:bidi w:val="0"/>
        <w:spacing w:before="240" w:after="283"/>
        <w:jc w:val="both"/>
        <w:rPr>
          <w:color w:val="000000"/>
        </w:rPr>
      </w:pPr>
      <w:r>
        <w:rPr>
          <w:color w:val="000000"/>
        </w:rPr>
        <w:t>“</w:t>
      </w:r>
      <w:r>
        <w:rPr>
          <w:rFonts w:ascii="Times New Roman" w:hAnsi="Times New Roman"/>
          <w:color w:val="000000"/>
          <w:sz w:val="20"/>
        </w:rPr>
        <w:t>As the world’s first Bitcoin Development Company, MicroStrategy is committed to the continued development of the bitcoin network through our activities in the financial markets, advocacy and technology innovation. It is through our unique bitcoin strategy and solid track record as an operating company that we now hold 214,400 bitcoins at an average purchase price of $35,180 per bitcoin. In the first quarter, our subscription services revenues and subscription billings both grew again at double-digit growth rates reflecting the continued successful transition of our software business to a cloud-native platform. We are very pleased with the continued global adoption of our cloud platform,” said Phong Le, President and Chief Executive Officer, MicroStrategy.</w:t>
      </w:r>
    </w:p>
    <w:p>
      <w:pPr>
        <w:pStyle w:val="TextBody"/>
        <w:bidi w:val="0"/>
        <w:spacing w:before="240" w:after="283"/>
        <w:jc w:val="both"/>
        <w:rPr>
          <w:color w:val="000000"/>
        </w:rPr>
      </w:pPr>
      <w:r>
        <w:rPr>
          <w:color w:val="000000"/>
        </w:rPr>
        <w:t>“</w:t>
      </w:r>
      <w:r>
        <w:rPr>
          <w:rFonts w:ascii="Times New Roman" w:hAnsi="Times New Roman"/>
          <w:color w:val="000000"/>
          <w:sz w:val="20"/>
        </w:rPr>
        <w:t>In the first quarter we raised over $1.5 billion by executing again on our capital markets strategy including two successful convertible debt offerings. We acquired 25,250 additional bitcoins since the end of the fourth quarter, our 14th consecutive quarter of adding more bitcoin to our balance sheet. We believe that the combination of our operating structure, bitcoin strategy, and focus on technology innovation provides a unique opportunity for value creation for our shareholders. Year to date, the price of bitcoin appreciated significantly, spurred notably by the approval of the spot bitcoin exchange traded products which has increased institutional demand and resulted in further regulatory clarity,” said Andrew Kang, Chief Financial Officer, MicroStrategy.</w:t>
      </w:r>
    </w:p>
    <w:p>
      <w:pPr>
        <w:pStyle w:val="TextBody"/>
        <w:bidi w:val="0"/>
        <w:spacing w:before="240" w:after="283"/>
        <w:jc w:val="both"/>
        <w:rPr>
          <w:rFonts w:ascii="Times New Roman" w:hAnsi="Times New Roman"/>
          <w:b/>
          <w:color w:val="000000"/>
          <w:sz w:val="20"/>
        </w:rPr>
      </w:pPr>
      <w:r>
        <w:rPr>
          <w:rFonts w:ascii="Times New Roman" w:hAnsi="Times New Roman"/>
          <w:b/>
          <w:color w:val="000000"/>
          <w:sz w:val="20"/>
        </w:rPr>
        <w:t>First Quarter 2024 Financial Highlights</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Revenues:</w:t>
      </w:r>
      <w:r>
        <w:rPr>
          <w:color w:val="000000"/>
        </w:rPr>
        <w:t xml:space="preserve"> </w:t>
      </w:r>
      <w:r>
        <w:rPr>
          <w:rFonts w:ascii="Times New Roman" w:hAnsi="Times New Roman"/>
          <w:color w:val="000000"/>
          <w:sz w:val="20"/>
        </w:rPr>
        <w:t xml:space="preserve">Total revenues for the first quarter of 2024 were $115.2 million, a 5.5% decrease, or a 5.7% decrease on a non-GAAP constant currency basis, compared to the first quarter of 2023. Product licenses and subscription services revenues for the first quarter of 2024 were $35.9 million, a 0.9% decrease, or a 0.9% decrease on a non-GAAP constant currency basis, compared to the first quarter of 2023. Product support revenues for the first quarter of 2024 were $62.7 million, a 4.3% decrease, or a 4.6% decrease on a non-GAAP constant currency basis, compared to the first quarter of 2023. Other services revenues for the first quarter of 2024 were $16.7 million, a 17.6% decrease, or a 17.9% decrease on a non-GAAP constant currency basis, compared to the first quarter of 2023. </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Gross Profit:</w:t>
      </w:r>
      <w:r>
        <w:rPr>
          <w:color w:val="000000"/>
        </w:rPr>
        <w:t xml:space="preserve"> </w:t>
      </w:r>
      <w:r>
        <w:rPr>
          <w:rFonts w:ascii="Times New Roman" w:hAnsi="Times New Roman"/>
          <w:color w:val="000000"/>
          <w:sz w:val="20"/>
        </w:rPr>
        <w:t>Gross profit for the first quarter of 2024 was $85.2 million, representing a 74.0% gross margin, compared to a gross profit of $94.0 million, representing a gross margin of 77.1%, for the first quarter of 2023.</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 xml:space="preserve">Operating Expenses: </w:t>
      </w:r>
      <w:r>
        <w:rPr>
          <w:rFonts w:ascii="Times New Roman" w:hAnsi="Times New Roman"/>
          <w:color w:val="000000"/>
          <w:sz w:val="20"/>
        </w:rPr>
        <w:t xml:space="preserve">Operating expenses for the first quarter of 2024 were $288.9 million, a 152.8% increase compared to the first quarter of 2023. Operating expenses include impairment losses on the Company’s digital assets, which were $191.6 million during the first quarter of 2024, compared to $18.9 million in the first quarter of 2023. </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Loss from Operations and Net (Loss) Income:</w:t>
      </w:r>
      <w:r>
        <w:rPr>
          <w:color w:val="000000"/>
        </w:rPr>
        <w:t xml:space="preserve"> </w:t>
      </w:r>
      <w:r>
        <w:rPr>
          <w:rFonts w:ascii="Times New Roman" w:hAnsi="Times New Roman"/>
          <w:color w:val="000000"/>
          <w:sz w:val="20"/>
        </w:rPr>
        <w:t>Loss from operations for the first quarter of 2024 was $203.7 million, compared to a loss from operations of $20.3 million for the first quarter of 2023. Net loss for the first quarter of 2024 was $53.1 million, or $3.09 per share on a diluted basis, as compared to a net income $461.2 million, or $31.79 per share on a diluted basis, for the first quarter of 2023. Digital asset impairment losses of $191.6 million and $18.9 million for the first quarter of 2024 and 2023, respectively, were reflected in these amounts. Benefit from income taxes of $160.8 million and $453.2 million for the first quarter of 2024 and 2023, respectively, were reflected in net (loss) income, principally reflecting income tax effects from share-based compensation and our bitcoin holdings.</w:t>
      </w:r>
    </w:p>
    <w:p>
      <w:pPr>
        <w:pStyle w:val="TextBody"/>
        <w:bidi w:val="0"/>
        <w:spacing w:before="240" w:after="283"/>
        <w:jc w:val="left"/>
        <w:rPr/>
      </w:pPr>
      <w:r>
        <w:rPr/>
        <w:t> </w:t>
      </w:r>
    </w:p>
    <w:p>
      <w:pPr>
        <w:pStyle w:val="HorizontalLine"/>
        <w:pBdr>
          <w:bottom w:val="double" w:sz="2" w:space="0" w:color="808080"/>
        </w:pBdr>
        <w:bidi w:val="0"/>
        <w:spacing w:before="0" w:after="283"/>
        <w:jc w:val="left"/>
        <w:rPr/>
      </w:pPr>
      <w:r>
        <w:rPr/>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Cash and Cash Equivalents:</w:t>
      </w:r>
      <w:r>
        <w:rPr>
          <w:color w:val="000000"/>
        </w:rPr>
        <w:t xml:space="preserve"> </w:t>
      </w:r>
      <w:r>
        <w:rPr>
          <w:rFonts w:ascii="Times New Roman" w:hAnsi="Times New Roman"/>
          <w:color w:val="000000"/>
          <w:sz w:val="20"/>
        </w:rPr>
        <w:t xml:space="preserve">As of March 31, 2024, the Company had cash and cash equivalents of $81.3 million, as compared to $46.8 million as of December 31, 2023, an increase of $34.5 million. </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Digital Assets:</w:t>
      </w:r>
      <w:r>
        <w:rPr>
          <w:color w:val="000000"/>
        </w:rPr>
        <w:t xml:space="preserve"> </w:t>
      </w:r>
      <w:r>
        <w:rPr>
          <w:rFonts w:ascii="Times New Roman" w:hAnsi="Times New Roman"/>
          <w:color w:val="000000"/>
          <w:sz w:val="20"/>
        </w:rPr>
        <w:t>As of March 31, 2024, the carrying value of the Company’s digital assets (comprised of approximately 214,278 bitcoins) was $5.074 billion, which reflects cumulative impairment losses of $2.461 billion since acquisition and an average carrying amount per bitcoin of approximately $23,680. As of March 31, 2024, the original cost basis and market value of the Company’s bitcoin were $7.535 billion and $15.220 billion, respectively, which reflects an average cost per bitcoin of approximately $35,164 and a market price per bitcoin of $71,028.14, respectively.</w:t>
      </w:r>
    </w:p>
    <w:p>
      <w:pPr>
        <w:pStyle w:val="TextBody"/>
        <w:bidi w:val="0"/>
        <w:spacing w:before="240" w:after="283"/>
        <w:jc w:val="both"/>
        <w:rPr>
          <w:color w:val="000000"/>
        </w:rPr>
      </w:pPr>
      <w:r>
        <w:rPr>
          <w:color w:val="000000"/>
        </w:rPr>
        <w:t>•</w:t>
      </w:r>
    </w:p>
    <w:p>
      <w:pPr>
        <w:pStyle w:val="TextBody"/>
        <w:bidi w:val="0"/>
        <w:spacing w:before="240" w:after="283"/>
        <w:jc w:val="both"/>
        <w:rPr/>
      </w:pPr>
      <w:r>
        <w:rPr>
          <w:rFonts w:ascii="Times New Roman" w:hAnsi="Times New Roman"/>
          <w:b/>
          <w:color w:val="000000"/>
          <w:sz w:val="20"/>
        </w:rPr>
        <w:t>March 2024 Issuances of Convertible Notes:</w:t>
      </w:r>
      <w:r>
        <w:rPr>
          <w:color w:val="000000"/>
        </w:rPr>
        <w:t xml:space="preserve"> </w:t>
      </w:r>
      <w:r>
        <w:rPr>
          <w:rFonts w:ascii="Times New Roman" w:hAnsi="Times New Roman"/>
          <w:color w:val="000000"/>
          <w:sz w:val="20"/>
        </w:rPr>
        <w:t>In March 2024, the Company issued $800.0 million aggregate principal amount of 0.625% Convertible Senior Notes due 2030 (the “2030 Convertible Notes”). The 2030 Convertible Notes are senior unsecured obligations of the Company and bear interest at a fixed rate of 0.625% per annum, payable semiannually in arrears on March 15 and September 15 of each year, beginning on September 15, 2024. Holders of the 2030 Convertible Notes may receive additional interest under specified circumstances as outlined in the indenture for the 2030 Convertible Notes. The 2030 Convertible Notes are convertible into shares of MicroStrategy’s class A common stock at an initial conversion price of $1,497.68 per share. The 2030 Convertible Notes will mature on March 15, 2030, unless earlier converted, redeemed, or repurchased in accordance with their terms. The holders of the 2030 Convertible Notes have the right to require the Company to repurchase for cash all or any portion of their 2030 Convertible Notes on September 15, 2028 at a repurchase price equal to 100% of the principal amount of the 2030 Convertible Notes to be repurchased, plus any accrued and unpaid interest to, but excluding, the repurchase date. The total net proceeds from the 2030 Convertible Notes offering, after deducting initial purchaser discounts and issuance costs, were approximately $782.0 million.</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In March 2024, the Company issued $603.8 million aggregate principal amount of 0.875% Convertible Senior Notes due 2031 (the “2031 Convertible Notes”). The 2031 Convertible Notes are senior unsecured obligations of the Company and bear interest at a fixed rate of 0.875% per annum, payable semiannually in arrears on March 15 and September 15 of each year, beginning on September 15, 2024. Holders of the 2031 Convertible Notes may receive additional interest under specified circumstances as outlined in the indenture for the 2031 Convertible Notes. The 2031 Convertible Notes are convertible into shares of MicroStrategy’s class A common stock at an initial conversion price of $2,327.21 per share. The 2031 Convertible Notes will mature on March 15, 2031, unless earlier converted, redeemed, or repurchased in accordance with their terms. The holders of the 2031 Convertible Notes have the right to require the Company to repurchase for cash all or any portion of their 2031 Convertible Notes on September 15, 2028 at a repurchase price equal to 100% of the principal amount of the 2031 Convertible Notes to be repurchased, plus any accrued and unpaid interest to, but excluding, the repurchase date. The total net proceeds from the 2031 Convertible Notes offering, after deducting initial purchaser discounts and issuance costs, were approximately $592.3 million.</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 xml:space="preserve">As of March 31, 2024, the carrying values (which are net of unamortized issuance costs) of the 2030 Convertible Notes and 2031 Convertible Notes were $782.2 million and $592.4 million, respectively, and were classified as long-term liabilities in the “Long-term debt, net” line item in the Company's Consolidated Balance Sheet. </w:t>
      </w:r>
    </w:p>
    <w:p>
      <w:pPr>
        <w:pStyle w:val="TextBody"/>
        <w:bidi w:val="0"/>
        <w:spacing w:before="240" w:after="283"/>
        <w:jc w:val="both"/>
        <w:rPr>
          <w:rFonts w:ascii="Times New Roman" w:hAnsi="Times New Roman"/>
          <w:sz w:val="20"/>
        </w:rPr>
      </w:pPr>
      <w:r>
        <w:rPr>
          <w:rFonts w:ascii="Times New Roman" w:hAnsi="Times New Roman"/>
          <w:color w:val="000000"/>
          <w:sz w:val="20"/>
        </w:rPr>
        <w:t xml:space="preserve">The tables provided at the end of this press release include a reconciliation of the most directly comparable financial measures prepared in accordance with generally accepted accounting principles in the United States (“GAAP”) to non-GAAP financial measures for the three months ended March 31, 2024 and 2023. An explanation of non-GAAP financial measures is also included under the heading “Non-GAAP Financial Measures” below. Additional non-GAAP financial measures are included in MicroStrategy’s “Q1 2024 Earnings Presentation,” which will be available under the “Events and Presentations” section of MicroStrategy’s investor relations website at </w:t>
      </w:r>
      <w:r>
        <w:rPr>
          <w:rFonts w:ascii="Times New Roman" w:hAnsi="Times New Roman"/>
          <w:sz w:val="20"/>
        </w:rPr>
        <w:t>https://www.microstrategy.com/en/investor-relations</w:t>
      </w:r>
      <w:r>
        <w:rPr>
          <w:rFonts w:ascii="Times New Roman" w:hAnsi="Times New Roman"/>
          <w:color w:val="000000"/>
          <w:sz w:val="20"/>
        </w:rPr>
        <w:t>.</w:t>
      </w:r>
    </w:p>
    <w:p>
      <w:pPr>
        <w:pStyle w:val="TextBody"/>
        <w:bidi w:val="0"/>
        <w:spacing w:before="240" w:after="283"/>
        <w:jc w:val="both"/>
        <w:rPr>
          <w:rFonts w:ascii="Times New Roman" w:hAnsi="Times New Roman"/>
          <w:b/>
          <w:color w:val="000000"/>
          <w:sz w:val="20"/>
        </w:rPr>
      </w:pPr>
      <w:r>
        <w:rPr>
          <w:rFonts w:ascii="Times New Roman" w:hAnsi="Times New Roman"/>
          <w:b/>
          <w:color w:val="000000"/>
          <w:sz w:val="20"/>
        </w:rPr>
        <w:t>Non-GAAP Financial Measures</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MicroStrategy is providing supplemental financial measures for (i) non-GAAP loss from operations that excludes the impact of share-based compensation expense, (ii) non-GAAP net (loss) income and non-GAAP diluted (loss) earnings per share that exclude the impacts of share-based compensation expense, interest expense arising from the amortization of debt issuance costs related to MicroStrategy’s long-term debt, gain on debt extinguishment, and related income tax effects, and (iii) non-GAAP constant currency revenues that exclude certain foreign currency exchange rate fluctuations. These supplemental financial measures are not measurements of financial performance under GAAP and, as a result, these supplemental financial measures may not be comparable to similarly titled measures of other companies. Management uses these non-GAAP financial measures internally to help understand, manage, and evaluate business performance and to help make operating decisions.</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 xml:space="preserve">MicroStrategy believes that these non-GAAP financial measures are also useful to investors and analysts in comparing its performance across reporting periods on a consistent basis. The first supplemental financial measure excludes a significant non-cash expense that MicroStrategy believes is not reflective of its general business performance, and for which the accounting requires management </w:t>
      </w:r>
    </w:p>
    <w:p>
      <w:pPr>
        <w:pStyle w:val="TextBody"/>
        <w:bidi w:val="0"/>
        <w:spacing w:before="240" w:after="283"/>
        <w:jc w:val="left"/>
        <w:rPr/>
      </w:pPr>
      <w:r>
        <w:rPr/>
        <w:t> </w:t>
      </w:r>
    </w:p>
    <w:p>
      <w:pPr>
        <w:pStyle w:val="HorizontalLine"/>
        <w:pBdr>
          <w:bottom w:val="double" w:sz="2" w:space="0" w:color="808080"/>
        </w:pBdr>
        <w:bidi w:val="0"/>
        <w:spacing w:before="0" w:after="283"/>
        <w:jc w:val="left"/>
        <w:rPr/>
      </w:pPr>
      <w:r>
        <w:rPr/>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judgment and the resulting share-based compensation expense could vary significantly in comparison to other companies. The second set of supplemental financial measures excludes the impacts of (i) share-based compensation expense, (ii) non-cash interest expense arising from the amortization of debt issuance costs related to MicroStrategy’s long-term debt, (iii) a gain on debt extinguishment, and (iv) related income tax effects. The third set of supplemental financial measures excludes changes resulting from certain fluctuations in foreign currency exchange rates so that results may be compared to the same period in the prior year on a non-GAAP constant currency basis. MicroStrategy believes the use of these non-GAAP financial measures can also facilitate comparison of MicroStrategy’s operating results to those of its competitors.</w:t>
      </w:r>
    </w:p>
    <w:p>
      <w:pPr>
        <w:pStyle w:val="TextBody"/>
        <w:bidi w:val="0"/>
        <w:spacing w:before="240" w:after="283"/>
        <w:jc w:val="both"/>
        <w:rPr>
          <w:rFonts w:ascii="Times New Roman" w:hAnsi="Times New Roman"/>
          <w:b/>
          <w:color w:val="000000"/>
          <w:sz w:val="20"/>
        </w:rPr>
      </w:pPr>
      <w:r>
        <w:rPr>
          <w:rFonts w:ascii="Times New Roman" w:hAnsi="Times New Roman"/>
          <w:b/>
          <w:color w:val="000000"/>
          <w:sz w:val="20"/>
        </w:rPr>
        <w:t>Conference Call</w:t>
      </w:r>
    </w:p>
    <w:p>
      <w:pPr>
        <w:pStyle w:val="TextBody"/>
        <w:bidi w:val="0"/>
        <w:jc w:val="both"/>
        <w:rPr/>
      </w:pPr>
      <w:r>
        <w:rPr/>
        <w:t> </w:t>
      </w:r>
    </w:p>
    <w:p>
      <w:pPr>
        <w:pStyle w:val="TextBody"/>
        <w:bidi w:val="0"/>
        <w:spacing w:before="40" w:after="283"/>
        <w:jc w:val="both"/>
        <w:rPr>
          <w:rFonts w:ascii="Times New Roman" w:hAnsi="Times New Roman"/>
          <w:sz w:val="20"/>
        </w:rPr>
      </w:pPr>
      <w:r>
        <w:rPr>
          <w:rFonts w:ascii="Times New Roman" w:hAnsi="Times New Roman"/>
          <w:color w:val="000000"/>
          <w:sz w:val="20"/>
        </w:rPr>
        <w:t xml:space="preserve">MicroStrategy will be discussing its first quarter 2024 financial results on a live Video Webinar today beginning at approximately 5:00 p.m. ET. The live Video Webinar and accompanying presentation materials will be available under the “Events and Presentations” section of MicroStrategy’s investor relations website at </w:t>
      </w:r>
      <w:r>
        <w:rPr>
          <w:rFonts w:ascii="Times New Roman" w:hAnsi="Times New Roman"/>
          <w:sz w:val="20"/>
        </w:rPr>
        <w:t>https://www.microstrategy.com/en/investor-relations</w:t>
      </w:r>
      <w:r>
        <w:rPr>
          <w:rFonts w:ascii="Times New Roman" w:hAnsi="Times New Roman"/>
          <w:color w:val="000000"/>
          <w:sz w:val="20"/>
        </w:rPr>
        <w:t xml:space="preserve">. Log-in instructions will be available after registering for the event. An archived replay of the event will be available beginning approximately two hours after the call concludes. </w:t>
      </w:r>
    </w:p>
    <w:p>
      <w:pPr>
        <w:pStyle w:val="TextBody"/>
        <w:bidi w:val="0"/>
        <w:spacing w:before="240" w:after="283"/>
        <w:jc w:val="both"/>
        <w:rPr>
          <w:rFonts w:ascii="Times New Roman" w:hAnsi="Times New Roman"/>
          <w:b/>
          <w:color w:val="000000"/>
          <w:sz w:val="20"/>
        </w:rPr>
      </w:pPr>
      <w:r>
        <w:rPr>
          <w:rFonts w:ascii="Times New Roman" w:hAnsi="Times New Roman"/>
          <w:b/>
          <w:color w:val="000000"/>
          <w:sz w:val="20"/>
        </w:rPr>
        <w:t>About MicroStrategy Incorporated</w:t>
      </w:r>
    </w:p>
    <w:p>
      <w:pPr>
        <w:pStyle w:val="TextBody"/>
        <w:bidi w:val="0"/>
        <w:spacing w:before="240" w:after="283"/>
        <w:jc w:val="both"/>
        <w:rPr>
          <w:rFonts w:ascii="Times New Roman" w:hAnsi="Times New Roman"/>
          <w:sz w:val="20"/>
        </w:rPr>
      </w:pPr>
      <w:r>
        <w:rPr>
          <w:rFonts w:ascii="Times New Roman" w:hAnsi="Times New Roman"/>
          <w:color w:val="000000"/>
          <w:sz w:val="20"/>
        </w:rPr>
        <w:t xml:space="preserve">MicroStrategy (Nasdaq: MSTR)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cashflows as well as proceeds from equity and debt financings to accumulate bitcoin, which serves as our primary treasury reserve asset. We also develop and provide industry-leading AI-powered enterprise analytics software that promotes our vision of Intelligence Everywhere, and are using our software development capabilities to develop bitcoin applications. We believe that the combination of our operating structure, bitcoin strategy and focus on technology innovation provides a unique opportunity for value creation. For more information about MicroStrategy, visit </w:t>
      </w:r>
      <w:r>
        <w:rPr>
          <w:rFonts w:ascii="Times New Roman" w:hAnsi="Times New Roman"/>
          <w:sz w:val="20"/>
        </w:rPr>
        <w:t>www.microstrategy.com</w:t>
      </w:r>
      <w:r>
        <w:rPr>
          <w:rFonts w:ascii="Times New Roman" w:hAnsi="Times New Roman"/>
          <w:color w:val="000000"/>
          <w:sz w:val="20"/>
        </w:rPr>
        <w:t>.</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MicroStrategy, MicroStrategy AI, Intelligence Everywhere, Intelligent Enterprise, and MicroStrategy Library are either trademarks or registered trademarks of MicroStrategy Incorporated in the United States and certain other countries. Other product and company names mentioned herein may be the trademarks of their respective owners.</w:t>
      </w:r>
    </w:p>
    <w:p>
      <w:pPr>
        <w:pStyle w:val="TextBody"/>
        <w:bidi w:val="0"/>
        <w:spacing w:before="240" w:after="283"/>
        <w:jc w:val="both"/>
        <w:rPr>
          <w:rFonts w:ascii="Times New Roman" w:hAnsi="Times New Roman"/>
          <w:color w:val="000000"/>
          <w:sz w:val="20"/>
        </w:rPr>
      </w:pPr>
      <w:r>
        <w:rPr>
          <w:rFonts w:ascii="Times New Roman" w:hAnsi="Times New Roman"/>
          <w:color w:val="000000"/>
          <w:sz w:val="20"/>
        </w:rPr>
        <w:t>This press release may include statements that may constitute “forward-looking statements,” including estimates of future business prospects or financial results and statements containing the words “believe,” “estimate,” “project,” “expect,” “will,” or similar expressions. Forward-looking statements inherently involve risks and uncertainties that could cause actual results of MicroStrategy Incorporated and its subsidiaries (collectively, the “Company”) to differ materially from the forward-looking statements. Factors that could contribute to such differences include: fluctuations in the market price of bitcoin and any associated impairment charges that the Company may incur as a result of a decrease in the market price of bitcoin below the value at which the Company’s bitcoins are carried on its balance sheet; gains or losses on any sales of bitcoins; changes in the accounting treatment relating to the Company’s bitcoin holdings; changes in securities laws or other laws or regulations, or the adoption of new laws or regulations, relating to bitcoin that adversely affect the price of bitcoin or the Company’s ability to transact in or own bitcoin; a decrease in liquidity in the markets in which bitcoin is traded; security breaches, cyberattacks, unauthorized access, loss of private keys, fraud or other circumstances or events that result in the loss of the Company’s bitcoins; impacts to the price and rate of adoption of bitcoin associated with financial difficulties and bankruptcies of various participants in the digital asset industry; the level and terms of the Company’s substantial indebtedness and its ability to service such debt; the extent and timing of market acceptance of the Company’s new product offerings; continued acceptance of the Company’s other products in the marketplace; the Company’s ability to recognize revenue or deferred revenue through delivery of products or satisfactory performance of services; the timing of significant orders; delays in or the inability of the Company to develop or ship new products; customers continuing to shift from a product license model to a cloud subscription model, which may delay the Company’s ability to recognize revenue; fluctuations in tax benefits or provisions; changes in the market price of bitcoin as of period-end and their effect on our deferred tax assets and related valuation allowance; other potentially adverse tax consequences; competitive factors; general economic conditions, including levels of inflation and interest rates; currency fluctuations; and other risks detailed in MicroStrategy’s registration statements and periodic reports filed with the Securities and Exchange Commission (“SEC”). The Company undertakes no obligation to update these forward-looking statements for revisions or changes after the date of this release.</w:t>
      </w:r>
    </w:p>
    <w:p>
      <w:pPr>
        <w:pStyle w:val="TextBody"/>
        <w:bidi w:val="0"/>
        <w:spacing w:before="240" w:after="283"/>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CONSOLIDATED STATEMENTS OF OPERATIONS</w:t>
      </w:r>
    </w:p>
    <w:p>
      <w:pPr>
        <w:pStyle w:val="TextBody"/>
        <w:bidi w:val="0"/>
        <w:jc w:val="center"/>
        <w:rPr>
          <w:rFonts w:ascii="Times New Roman" w:hAnsi="Times New Roman"/>
          <w:b/>
          <w:color w:val="000000"/>
          <w:sz w:val="20"/>
        </w:rPr>
      </w:pPr>
      <w:r>
        <w:rPr>
          <w:rFonts w:ascii="Times New Roman" w:hAnsi="Times New Roman"/>
          <w:b/>
          <w:color w:val="000000"/>
          <w:sz w:val="20"/>
        </w:rPr>
        <w:t>(in thousands, except per share data)</w:t>
      </w:r>
    </w:p>
    <w:tbl>
      <w:tblPr>
        <w:tblW w:w="10205" w:type="dxa"/>
        <w:jc w:val="left"/>
        <w:tblInd w:w="0" w:type="dxa"/>
        <w:tblLayout w:type="fixed"/>
        <w:tblCellMar>
          <w:top w:w="28" w:type="dxa"/>
          <w:left w:w="28" w:type="dxa"/>
          <w:bottom w:w="28" w:type="dxa"/>
          <w:right w:w="28" w:type="dxa"/>
        </w:tblCellMar>
      </w:tblPr>
      <w:tblGrid>
        <w:gridCol w:w="7052"/>
        <w:gridCol w:w="146"/>
        <w:gridCol w:w="211"/>
        <w:gridCol w:w="841"/>
        <w:gridCol w:w="166"/>
        <w:gridCol w:w="146"/>
        <w:gridCol w:w="211"/>
        <w:gridCol w:w="841"/>
        <w:gridCol w:w="591"/>
      </w:tblGrid>
      <w:tr>
        <w:trPr/>
        <w:tc>
          <w:tcPr>
            <w:tcW w:w="7052"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591" w:type="dxa"/>
            <w:tcBorders/>
            <w:vAlign w:val="center"/>
          </w:tcPr>
          <w:p>
            <w:pPr>
              <w:pStyle w:val="TableContents"/>
              <w:bidi w:val="0"/>
              <w:spacing w:before="0" w:after="283"/>
              <w:jc w:val="left"/>
              <w:rPr>
                <w:sz w:val="4"/>
                <w:szCs w:val="4"/>
              </w:rPr>
            </w:pPr>
            <w:r>
              <w:rPr>
                <w:sz w:val="4"/>
                <w:szCs w:val="4"/>
              </w:rPr>
            </w:r>
          </w:p>
        </w:tc>
      </w:tr>
      <w:tr>
        <w:trPr/>
        <w:tc>
          <w:tcPr>
            <w:tcW w:w="7052"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416"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591" w:type="dxa"/>
            <w:tcBorders/>
            <w:shd w:fill="FFFFFF" w:val="clear"/>
            <w:vAlign w:val="center"/>
          </w:tcPr>
          <w:p>
            <w:pPr>
              <w:pStyle w:val="TableContents"/>
              <w:bidi w:val="0"/>
              <w:spacing w:before="0" w:after="283"/>
              <w:jc w:val="center"/>
              <w:rPr/>
            </w:pPr>
            <w:r>
              <w:rPr/>
              <w:t> </w:t>
            </w:r>
          </w:p>
        </w:tc>
      </w:tr>
      <w:tr>
        <w:trPr/>
        <w:tc>
          <w:tcPr>
            <w:tcW w:w="7052"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416"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March 31,</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7052"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7052"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591" w:type="dxa"/>
            <w:tcBorders/>
            <w:shd w:fill="FFFFFF" w:val="clear"/>
            <w:vAlign w:val="center"/>
          </w:tcPr>
          <w:p>
            <w:pPr>
              <w:pStyle w:val="TableContents"/>
              <w:bidi w:val="0"/>
              <w:spacing w:before="0" w:after="283"/>
              <w:jc w:val="center"/>
              <w:rPr/>
            </w:pPr>
            <w:r>
              <w:rPr/>
              <w:t> </w:t>
            </w:r>
          </w:p>
        </w:tc>
      </w:tr>
      <w:tr>
        <w:trPr/>
        <w:tc>
          <w:tcPr>
            <w:tcW w:w="705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Revenues:</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05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licenses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12,938</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17,412</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05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Subscription services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22,966</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18,810</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7052" w:type="dxa"/>
            <w:tcBorders/>
            <w:shd w:fill="FFFFFF"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Total product licenses and subscription services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35,904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36,222</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05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support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62,685</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65,481</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05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Other services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16,657</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20,212</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7052" w:type="dxa"/>
            <w:tcBorders/>
            <w:shd w:fill="CFF0FC" w:val="clear"/>
            <w:vAlign w:val="center"/>
          </w:tcPr>
          <w:p>
            <w:pPr>
              <w:pStyle w:val="TableContents"/>
              <w:bidi w:val="0"/>
              <w:spacing w:before="0" w:after="283"/>
              <w:ind w:left="400" w:right="0" w:firstLine="400"/>
              <w:jc w:val="left"/>
              <w:rPr>
                <w:rFonts w:ascii="Times New Roman" w:hAnsi="Times New Roman"/>
                <w:b/>
                <w:color w:val="000000"/>
                <w:sz w:val="20"/>
              </w:rPr>
            </w:pPr>
            <w:r>
              <w:rPr>
                <w:rFonts w:ascii="Times New Roman" w:hAnsi="Times New Roman"/>
                <w:b/>
                <w:color w:val="000000"/>
                <w:sz w:val="20"/>
              </w:rPr>
              <w:t>Total revenues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115,246</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121,915</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705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Cost of revenues:</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05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licenses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567</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534</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05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Subscription services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8,604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7,856</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7052" w:type="dxa"/>
            <w:tcBorders/>
            <w:shd w:fill="CFF0FC"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Total product licenses and subscription services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9,171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8,390</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05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support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8,547</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5,768</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05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Other services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12,297</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13,783</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7052" w:type="dxa"/>
            <w:tcBorders/>
            <w:shd w:fill="FFFFFF" w:val="clear"/>
            <w:vAlign w:val="center"/>
          </w:tcPr>
          <w:p>
            <w:pPr>
              <w:pStyle w:val="TableContents"/>
              <w:bidi w:val="0"/>
              <w:spacing w:before="0" w:after="283"/>
              <w:ind w:left="400" w:right="0" w:firstLine="400"/>
              <w:jc w:val="left"/>
              <w:rPr>
                <w:rFonts w:ascii="Times New Roman" w:hAnsi="Times New Roman"/>
                <w:b/>
                <w:color w:val="000000"/>
                <w:sz w:val="20"/>
              </w:rPr>
            </w:pPr>
            <w:r>
              <w:rPr>
                <w:rFonts w:ascii="Times New Roman" w:hAnsi="Times New Roman"/>
                <w:b/>
                <w:color w:val="000000"/>
                <w:sz w:val="20"/>
              </w:rPr>
              <w:t>Total cost of revenues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30,015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27,941</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705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Gross profit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85,231</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93,974</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705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Operating expenses:</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05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Sales and marketing</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33,451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36,106</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05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Research and development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29,183</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31,358</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05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General and administrative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34,666</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27,906</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05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191,633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18,911</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7052" w:type="dxa"/>
            <w:tcBorders/>
            <w:shd w:fill="CFF0FC" w:val="clear"/>
            <w:vAlign w:val="center"/>
          </w:tcPr>
          <w:p>
            <w:pPr>
              <w:pStyle w:val="TableContents"/>
              <w:bidi w:val="0"/>
              <w:spacing w:before="0" w:after="283"/>
              <w:ind w:left="400" w:right="0" w:firstLine="400"/>
              <w:jc w:val="left"/>
              <w:rPr>
                <w:rFonts w:ascii="Times New Roman" w:hAnsi="Times New Roman"/>
                <w:b/>
                <w:color w:val="000000"/>
                <w:sz w:val="20"/>
              </w:rPr>
            </w:pPr>
            <w:r>
              <w:rPr>
                <w:rFonts w:ascii="Times New Roman" w:hAnsi="Times New Roman"/>
                <w:b/>
                <w:color w:val="000000"/>
                <w:sz w:val="20"/>
              </w:rPr>
              <w:t>Total operating expenses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288,933</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114,281</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705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Loss from operations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(203,702</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(20,307</w:t>
            </w:r>
          </w:p>
        </w:tc>
        <w:tc>
          <w:tcPr>
            <w:tcW w:w="59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705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Interest expense, net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(11,881</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(14,930</w:t>
            </w:r>
          </w:p>
        </w:tc>
        <w:tc>
          <w:tcPr>
            <w:tcW w:w="591"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705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Gain on debt extinguishment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44,686</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05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Other income (expense), net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1,696</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(1,443</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705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(Loss) income before income taxes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(213,887</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8,006</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05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Benefit from income taxes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(160,769</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(453,187</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705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Net (loss) income</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(53,118</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461,193</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705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Basic (loss) earnings per share (1)</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38.97</w:t>
            </w:r>
          </w:p>
        </w:tc>
        <w:tc>
          <w:tcPr>
            <w:tcW w:w="5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705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Weighted average shares outstanding used in computing basic (loss) earnings per share</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17,194</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11,834</w:t>
            </w:r>
          </w:p>
        </w:tc>
        <w:tc>
          <w:tcPr>
            <w:tcW w:w="5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705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Diluted (loss) earnings per share (1)</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31.79</w:t>
            </w:r>
          </w:p>
        </w:tc>
        <w:tc>
          <w:tcPr>
            <w:tcW w:w="5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705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Weighted average shares outstanding used in computing diluted (loss) earnings per share</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17,194</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14,575</w:t>
            </w:r>
          </w:p>
        </w:tc>
        <w:tc>
          <w:tcPr>
            <w:tcW w:w="5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jc w:val="both"/>
        <w:rPr>
          <w:rFonts w:ascii="Times New Roman" w:hAnsi="Times New Roman"/>
          <w:color w:val="000000"/>
          <w:sz w:val="20"/>
        </w:rPr>
      </w:pPr>
      <w:r>
        <w:rPr>
          <w:rFonts w:ascii="Times New Roman" w:hAnsi="Times New Roman"/>
          <w:color w:val="000000"/>
          <w:sz w:val="20"/>
        </w:rPr>
        <w:t>(1) Basic and fully diluted (loss) earnings per share for class A and class B common stock are the same.</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CONSOLIDATED BALANCE SHEETS</w:t>
      </w:r>
    </w:p>
    <w:p>
      <w:pPr>
        <w:pStyle w:val="TextBody"/>
        <w:bidi w:val="0"/>
        <w:jc w:val="center"/>
        <w:rPr>
          <w:rFonts w:ascii="Times New Roman" w:hAnsi="Times New Roman"/>
          <w:b/>
          <w:color w:val="000000"/>
          <w:sz w:val="20"/>
        </w:rPr>
      </w:pPr>
      <w:r>
        <w:rPr>
          <w:rFonts w:ascii="Times New Roman" w:hAnsi="Times New Roman"/>
          <w:b/>
          <w:color w:val="000000"/>
          <w:sz w:val="20"/>
        </w:rPr>
        <w:t>(in thousands, except per share data)</w:t>
      </w:r>
    </w:p>
    <w:p>
      <w:pPr>
        <w:pStyle w:val="TextBody"/>
        <w:bidi w:val="0"/>
        <w:jc w:val="left"/>
        <w:rPr/>
      </w:pPr>
      <w:r>
        <w:rPr/>
        <w:t> </w:t>
      </w:r>
    </w:p>
    <w:tbl>
      <w:tblPr>
        <w:tblW w:w="10205" w:type="dxa"/>
        <w:jc w:val="left"/>
        <w:tblInd w:w="0" w:type="dxa"/>
        <w:tblLayout w:type="fixed"/>
        <w:tblCellMar>
          <w:top w:w="28" w:type="dxa"/>
          <w:left w:w="28" w:type="dxa"/>
          <w:bottom w:w="28" w:type="dxa"/>
          <w:right w:w="28" w:type="dxa"/>
        </w:tblCellMar>
      </w:tblPr>
      <w:tblGrid>
        <w:gridCol w:w="6992"/>
        <w:gridCol w:w="146"/>
        <w:gridCol w:w="211"/>
        <w:gridCol w:w="991"/>
        <w:gridCol w:w="166"/>
        <w:gridCol w:w="146"/>
        <w:gridCol w:w="211"/>
        <w:gridCol w:w="931"/>
        <w:gridCol w:w="411"/>
      </w:tblGrid>
      <w:tr>
        <w:trPr/>
        <w:tc>
          <w:tcPr>
            <w:tcW w:w="6992"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9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31" w:type="dxa"/>
            <w:tcBorders/>
            <w:vAlign w:val="center"/>
          </w:tcPr>
          <w:p>
            <w:pPr>
              <w:pStyle w:val="TableContents"/>
              <w:bidi w:val="0"/>
              <w:spacing w:before="0" w:after="283"/>
              <w:jc w:val="left"/>
              <w:rPr>
                <w:sz w:val="4"/>
                <w:szCs w:val="4"/>
              </w:rPr>
            </w:pPr>
            <w:r>
              <w:rPr>
                <w:sz w:val="4"/>
                <w:szCs w:val="4"/>
              </w:rPr>
            </w:r>
          </w:p>
        </w:tc>
        <w:tc>
          <w:tcPr>
            <w:tcW w:w="411" w:type="dxa"/>
            <w:tcBorders/>
            <w:vAlign w:val="center"/>
          </w:tcPr>
          <w:p>
            <w:pPr>
              <w:pStyle w:val="TableContents"/>
              <w:bidi w:val="0"/>
              <w:spacing w:before="0" w:after="283"/>
              <w:jc w:val="left"/>
              <w:rPr>
                <w:sz w:val="4"/>
                <w:szCs w:val="4"/>
              </w:rPr>
            </w:pPr>
            <w:r>
              <w:rPr>
                <w:sz w:val="4"/>
                <w:szCs w:val="4"/>
              </w:rPr>
            </w:r>
          </w:p>
        </w:tc>
      </w:tr>
      <w:tr>
        <w:trPr/>
        <w:tc>
          <w:tcPr>
            <w:tcW w:w="6992"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0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March 31,</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December 31,</w:t>
            </w:r>
          </w:p>
        </w:tc>
        <w:tc>
          <w:tcPr>
            <w:tcW w:w="411" w:type="dxa"/>
            <w:tcBorders/>
            <w:shd w:fill="FFFFFF" w:val="clear"/>
            <w:vAlign w:val="center"/>
          </w:tcPr>
          <w:p>
            <w:pPr>
              <w:pStyle w:val="TableContents"/>
              <w:bidi w:val="0"/>
              <w:spacing w:before="0" w:after="283"/>
              <w:jc w:val="center"/>
              <w:rPr/>
            </w:pPr>
            <w:r>
              <w:rPr/>
              <w:t> </w:t>
            </w:r>
          </w:p>
        </w:tc>
      </w:tr>
      <w:tr>
        <w:trPr/>
        <w:tc>
          <w:tcPr>
            <w:tcW w:w="699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699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center"/>
              <w:rPr/>
            </w:pPr>
            <w:r>
              <w:rPr/>
              <w:t> </w:t>
            </w:r>
          </w:p>
        </w:tc>
        <w:tc>
          <w:tcPr>
            <w:tcW w:w="411" w:type="dxa"/>
            <w:tcBorders/>
            <w:shd w:fill="FFFFFF" w:val="clear"/>
            <w:vAlign w:val="center"/>
          </w:tcPr>
          <w:p>
            <w:pPr>
              <w:pStyle w:val="TableContents"/>
              <w:bidi w:val="0"/>
              <w:spacing w:before="0" w:after="283"/>
              <w:jc w:val="center"/>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Assets</w:t>
            </w:r>
          </w:p>
        </w:tc>
        <w:tc>
          <w:tcPr>
            <w:tcW w:w="146" w:type="dxa"/>
            <w:tcBorders/>
            <w:shd w:fill="CFF0FC" w:val="clear"/>
            <w:vAlign w:val="center"/>
          </w:tcPr>
          <w:p>
            <w:pPr>
              <w:pStyle w:val="TableContents"/>
              <w:bidi w:val="0"/>
              <w:spacing w:before="0" w:after="283"/>
              <w:jc w:val="left"/>
              <w:rPr/>
            </w:pPr>
            <w:r>
              <w:rPr/>
              <w:t> </w:t>
            </w:r>
          </w:p>
        </w:tc>
        <w:tc>
          <w:tcPr>
            <w:tcW w:w="1202"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1142" w:type="dxa"/>
            <w:gridSpan w:val="2"/>
            <w:tcBorders/>
            <w:shd w:fill="CFF0FC" w:val="clear"/>
            <w:vAlign w:val="center"/>
          </w:tcPr>
          <w:p>
            <w:pPr>
              <w:pStyle w:val="TableContents"/>
              <w:bidi w:val="0"/>
              <w:spacing w:before="0" w:after="283"/>
              <w:jc w:val="right"/>
              <w:rPr/>
            </w:pPr>
            <w:r>
              <w:rPr/>
              <w:t> </w:t>
            </w:r>
          </w:p>
        </w:tc>
        <w:tc>
          <w:tcPr>
            <w:tcW w:w="411" w:type="dxa"/>
            <w:tcBorders/>
            <w:shd w:fill="CFF0FC" w:val="clear"/>
            <w:vAlign w:val="center"/>
          </w:tcPr>
          <w:p>
            <w:pPr>
              <w:pStyle w:val="TableContents"/>
              <w:bidi w:val="0"/>
              <w:spacing w:before="0" w:after="283"/>
              <w:jc w:val="righ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Current assets</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ind w:left="0" w:right="0" w:firstLine="200"/>
              <w:jc w:val="righ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Cash and cash equivalents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81,326</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46,817</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Restricted cash</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2,402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1,856</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Accounts receivable, net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115,150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183,815</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Prepaid expenses and other current assets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42,714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35,407</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current assets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241,592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267,895</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sz w:val="4"/>
                <w:szCs w:val="4"/>
              </w:rPr>
            </w:pPr>
            <w:r>
              <w:rPr>
                <w:sz w:val="4"/>
                <w:szCs w:val="4"/>
              </w:rPr>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jc w:val="righ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Digital assets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5,074,152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3,626,476</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Property and equipment, net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29,108</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28,941</w:t>
            </w:r>
          </w:p>
        </w:tc>
        <w:tc>
          <w:tcPr>
            <w:tcW w:w="411" w:type="dxa"/>
            <w:tcBorders/>
            <w:shd w:fill="FFFFFF" w:val="cle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Right-of-use assets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55,093</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57,343</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Deposits and other assets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31,757</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24,300</w:t>
            </w:r>
          </w:p>
        </w:tc>
        <w:tc>
          <w:tcPr>
            <w:tcW w:w="411" w:type="dxa"/>
            <w:tcBorders/>
            <w:shd w:fill="FFFFFF" w:val="cle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tax assets, net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919,837</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757,573</w:t>
            </w:r>
          </w:p>
        </w:tc>
        <w:tc>
          <w:tcPr>
            <w:tcW w:w="4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Assets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6,351,539</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3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4,762,528</w:t>
            </w:r>
          </w:p>
        </w:tc>
        <w:tc>
          <w:tcPr>
            <w:tcW w:w="4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2"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1142" w:type="dxa"/>
            <w:gridSpan w:val="2"/>
            <w:tcBorders/>
            <w:shd w:fill="CFF0FC" w:val="clear"/>
            <w:vAlign w:val="center"/>
          </w:tcPr>
          <w:p>
            <w:pPr>
              <w:pStyle w:val="TableContents"/>
              <w:bidi w:val="0"/>
              <w:spacing w:before="0" w:after="283"/>
              <w:jc w:val="right"/>
              <w:rPr/>
            </w:pPr>
            <w:r>
              <w:rPr/>
              <w:t> </w:t>
            </w:r>
          </w:p>
        </w:tc>
        <w:tc>
          <w:tcPr>
            <w:tcW w:w="411" w:type="dxa"/>
            <w:tcBorders/>
            <w:shd w:fill="CFF0FC" w:val="clear"/>
            <w:vAlign w:val="center"/>
          </w:tcPr>
          <w:p>
            <w:pPr>
              <w:pStyle w:val="TableContents"/>
              <w:bidi w:val="0"/>
              <w:spacing w:before="0" w:after="283"/>
              <w:jc w:val="righ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Liabilities and Stockholders’ Equity</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jc w:val="righ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Current liabilities</w:t>
            </w:r>
          </w:p>
        </w:tc>
        <w:tc>
          <w:tcPr>
            <w:tcW w:w="146" w:type="dxa"/>
            <w:tcBorders/>
            <w:shd w:fill="CFF0FC" w:val="clear"/>
            <w:vAlign w:val="center"/>
          </w:tcPr>
          <w:p>
            <w:pPr>
              <w:pStyle w:val="TableContents"/>
              <w:bidi w:val="0"/>
              <w:spacing w:before="0" w:after="283"/>
              <w:jc w:val="left"/>
              <w:rPr/>
            </w:pPr>
            <w:r>
              <w:rPr/>
              <w:t> </w:t>
            </w:r>
          </w:p>
        </w:tc>
        <w:tc>
          <w:tcPr>
            <w:tcW w:w="1202"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1142" w:type="dxa"/>
            <w:gridSpan w:val="2"/>
            <w:tcBorders/>
            <w:shd w:fill="CFF0FC" w:val="clear"/>
            <w:vAlign w:val="center"/>
          </w:tcPr>
          <w:p>
            <w:pPr>
              <w:pStyle w:val="TableContents"/>
              <w:bidi w:val="0"/>
              <w:spacing w:before="0" w:after="283"/>
              <w:jc w:val="right"/>
              <w:rPr/>
            </w:pPr>
            <w:r>
              <w:rPr/>
              <w:t> </w:t>
            </w:r>
          </w:p>
        </w:tc>
        <w:tc>
          <w:tcPr>
            <w:tcW w:w="411" w:type="dxa"/>
            <w:tcBorders/>
            <w:shd w:fill="CFF0FC" w:val="clear"/>
            <w:vAlign w:val="center"/>
          </w:tcPr>
          <w:p>
            <w:pPr>
              <w:pStyle w:val="TableContents"/>
              <w:bidi w:val="0"/>
              <w:spacing w:before="0" w:after="283"/>
              <w:ind w:left="0" w:right="0" w:firstLine="200"/>
              <w:jc w:val="righ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Accounts payable, accrued expenses, and operating lease liabilities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41,866</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43,090</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Accrued compensation and employee benefits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40,617</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50,045</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Accrued interest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10,878</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1,493</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Current portion of long-term debt, net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492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483</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Deferred revenue and advance payments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215,955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228,162</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current liabilities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309,808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323,273</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jc w:val="righ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Long-term debt, net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3,558,801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2,182,108</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revenue and advance payments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6,486</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8,524</w:t>
            </w:r>
          </w:p>
        </w:tc>
        <w:tc>
          <w:tcPr>
            <w:tcW w:w="411" w:type="dxa"/>
            <w:tcBorders/>
            <w:shd w:fill="FFFFFF" w:val="cle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Operating lease liabilities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58,430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61,086</w:t>
            </w:r>
          </w:p>
        </w:tc>
        <w:tc>
          <w:tcPr>
            <w:tcW w:w="411" w:type="dxa"/>
            <w:tcBorders/>
            <w:shd w:fill="CFF0FC" w:val="cle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Other long-term liabilities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17,552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22,208</w:t>
            </w:r>
          </w:p>
        </w:tc>
        <w:tc>
          <w:tcPr>
            <w:tcW w:w="411" w:type="dxa"/>
            <w:tcBorders/>
            <w:shd w:fill="FFFFFF" w:val="cle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tax liabilities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357</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357</w:t>
            </w:r>
          </w:p>
        </w:tc>
        <w:tc>
          <w:tcPr>
            <w:tcW w:w="4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liabilities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3,951,434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2,597,556</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2"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1142" w:type="dxa"/>
            <w:gridSpan w:val="2"/>
            <w:tcBorders/>
            <w:shd w:fill="CFF0FC" w:val="clear"/>
            <w:vAlign w:val="center"/>
          </w:tcPr>
          <w:p>
            <w:pPr>
              <w:pStyle w:val="TableContents"/>
              <w:bidi w:val="0"/>
              <w:spacing w:before="0" w:after="283"/>
              <w:jc w:val="right"/>
              <w:rPr/>
            </w:pPr>
            <w:r>
              <w:rPr/>
              <w:t> </w:t>
            </w:r>
          </w:p>
        </w:tc>
        <w:tc>
          <w:tcPr>
            <w:tcW w:w="411" w:type="dxa"/>
            <w:tcBorders/>
            <w:shd w:fill="CFF0FC" w:val="clear"/>
            <w:vAlign w:val="center"/>
          </w:tcPr>
          <w:p>
            <w:pPr>
              <w:pStyle w:val="TableContents"/>
              <w:bidi w:val="0"/>
              <w:spacing w:before="0" w:after="283"/>
              <w:jc w:val="right"/>
              <w:rPr/>
            </w:pPr>
            <w:r>
              <w:rPr/>
              <w:t> </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Stockholders’ Equity</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shd w:fill="FFFFFF" w:val="clear"/>
            <w:vAlign w:val="center"/>
          </w:tcPr>
          <w:p>
            <w:pPr>
              <w:pStyle w:val="TableContents"/>
              <w:bidi w:val="0"/>
              <w:spacing w:before="0" w:after="283"/>
              <w:jc w:val="right"/>
              <w:rPr/>
            </w:pPr>
            <w:r>
              <w:rPr/>
              <w:t> </w:t>
            </w:r>
          </w:p>
        </w:tc>
        <w:tc>
          <w:tcPr>
            <w:tcW w:w="411" w:type="dxa"/>
            <w:tcBorders/>
            <w:shd w:fill="FFFFFF" w:val="clear"/>
            <w:vAlign w:val="center"/>
          </w:tcPr>
          <w:p>
            <w:pPr>
              <w:pStyle w:val="TableContents"/>
              <w:bidi w:val="0"/>
              <w:spacing w:before="0" w:after="283"/>
              <w:ind w:left="0" w:right="0" w:firstLine="200"/>
              <w:jc w:val="righ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Preferred stock undesignated, $0.001 par value; 5,000 shares authorized; no shares issued or outstanding</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Class A common stock, $0.001 par value; 330,000 shares authorized; 24,367 shares issued and 15,683 shares outstanding, and 23,588 shares issued and 14,904 shares outstanding, respectively</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Class B convertible common stock, $0.001 par value; 165,000 shares authorized; 1,964 shares issued and outstanding, and 1,964 shares issued and outstanding, respectively</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w:t>
            </w:r>
          </w:p>
        </w:tc>
        <w:tc>
          <w:tcPr>
            <w:tcW w:w="411" w:type="dxa"/>
            <w:tcBorders/>
            <w:shd w:fill="CFF0FC" w:val="clear"/>
            <w:vAlign w:val="center"/>
          </w:tcPr>
          <w:p>
            <w:pPr>
              <w:pStyle w:val="TableContents"/>
              <w:bidi w:val="0"/>
              <w:spacing w:before="0" w:after="283"/>
              <w:ind w:left="0" w:right="0" w:firstLine="200"/>
              <w:jc w:val="left"/>
              <w:rPr/>
            </w:pPr>
            <w:r>
              <w:rPr/>
              <w:t> </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Additional paid-in capital</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4,247,704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3,957,728</w:t>
            </w:r>
          </w:p>
        </w:tc>
        <w:tc>
          <w:tcPr>
            <w:tcW w:w="411" w:type="dxa"/>
            <w:tcBorders/>
            <w:shd w:fill="FFFFFF" w:val="clear"/>
            <w:vAlign w:val="center"/>
          </w:tcPr>
          <w:p>
            <w:pPr>
              <w:pStyle w:val="TableContents"/>
              <w:bidi w:val="0"/>
              <w:spacing w:before="0" w:after="283"/>
              <w:ind w:left="0" w:right="0" w:firstLine="200"/>
              <w:jc w:val="left"/>
              <w:rPr/>
            </w:pPr>
            <w:r>
              <w:rPr/>
              <w:t> </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Treasury stock, at cost; 8,684 shares and 8,684 shares, respectively</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(782,104</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(782,104</w:t>
            </w:r>
          </w:p>
        </w:tc>
        <w:tc>
          <w:tcPr>
            <w:tcW w:w="411"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699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Accumulated other comprehensive loss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(13,169</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(11,444</w:t>
            </w:r>
          </w:p>
        </w:tc>
        <w:tc>
          <w:tcPr>
            <w:tcW w:w="41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699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Accumulated deficit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(1,052,352</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(999,234</w:t>
            </w:r>
          </w:p>
        </w:tc>
        <w:tc>
          <w:tcPr>
            <w:tcW w:w="4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699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Stockholders’ Equity</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2,400,105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2,164,972</w:t>
            </w:r>
          </w:p>
        </w:tc>
        <w:tc>
          <w:tcPr>
            <w:tcW w:w="4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699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Liabilities and Stockholders’ Equity</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6,351,539</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3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4,762,528</w:t>
            </w:r>
          </w:p>
        </w:tc>
        <w:tc>
          <w:tcPr>
            <w:tcW w:w="4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jc w:val="both"/>
        <w:rPr>
          <w:rFonts w:ascii="Times New Roman" w:hAnsi="Times New Roman"/>
          <w:color w:val="000000"/>
          <w:sz w:val="20"/>
        </w:rPr>
      </w:pPr>
      <w:r>
        <w:rPr>
          <w:rFonts w:ascii="Times New Roman" w:hAnsi="Times New Roman"/>
          <w:color w:val="000000"/>
          <w:sz w:val="20"/>
        </w:rPr>
        <w:t>* Derived from audited financial statements.</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CONSOLIDATED CONDENSED STATEMENTS OF CASH FLOWS</w:t>
      </w:r>
    </w:p>
    <w:p>
      <w:pPr>
        <w:pStyle w:val="TextBody"/>
        <w:bidi w:val="0"/>
        <w:jc w:val="center"/>
        <w:rPr>
          <w:rFonts w:ascii="Times New Roman" w:hAnsi="Times New Roman"/>
          <w:sz w:val="20"/>
        </w:rPr>
      </w:pPr>
      <w:r>
        <w:rPr>
          <w:rFonts w:ascii="Times New Roman" w:hAnsi="Times New Roman"/>
          <w:b/>
          <w:color w:val="000000"/>
          <w:sz w:val="20"/>
        </w:rPr>
        <w:t>(in thousands)</w:t>
      </w:r>
      <w:r>
        <w:rPr>
          <w:rFonts w:ascii="Times New Roman" w:hAnsi="Times New Roman"/>
          <w:color w:val="000000"/>
          <w:sz w:val="20"/>
        </w:rPr>
        <w:t xml:space="preserve"> </w:t>
      </w:r>
    </w:p>
    <w:p>
      <w:pPr>
        <w:pStyle w:val="TextBody"/>
        <w:bidi w:val="0"/>
        <w:jc w:val="center"/>
        <w:rPr/>
      </w:pPr>
      <w:r>
        <w:rPr/>
        <w:t> </w:t>
      </w:r>
    </w:p>
    <w:tbl>
      <w:tblPr>
        <w:tblW w:w="9929" w:type="dxa"/>
        <w:jc w:val="left"/>
        <w:tblInd w:w="0" w:type="dxa"/>
        <w:tblLayout w:type="fixed"/>
        <w:tblCellMar>
          <w:top w:w="28" w:type="dxa"/>
          <w:left w:w="28" w:type="dxa"/>
          <w:bottom w:w="28" w:type="dxa"/>
          <w:right w:w="28" w:type="dxa"/>
        </w:tblCellMar>
      </w:tblPr>
      <w:tblGrid>
        <w:gridCol w:w="7006"/>
        <w:gridCol w:w="146"/>
        <w:gridCol w:w="211"/>
        <w:gridCol w:w="991"/>
        <w:gridCol w:w="166"/>
        <w:gridCol w:w="146"/>
        <w:gridCol w:w="211"/>
        <w:gridCol w:w="841"/>
        <w:gridCol w:w="211"/>
      </w:tblGrid>
      <w:tr>
        <w:trPr/>
        <w:tc>
          <w:tcPr>
            <w:tcW w:w="700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9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r>
      <w:tr>
        <w:trPr/>
        <w:tc>
          <w:tcPr>
            <w:tcW w:w="700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66"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211" w:type="dxa"/>
            <w:tcBorders/>
            <w:shd w:fill="FFFFFF" w:val="clear"/>
            <w:vAlign w:val="center"/>
          </w:tcPr>
          <w:p>
            <w:pPr>
              <w:pStyle w:val="TableContents"/>
              <w:bidi w:val="0"/>
              <w:spacing w:before="0" w:after="283"/>
              <w:jc w:val="center"/>
              <w:rPr/>
            </w:pPr>
            <w:r>
              <w:rPr/>
              <w:t> </w:t>
            </w:r>
          </w:p>
        </w:tc>
      </w:tr>
      <w:tr>
        <w:trPr/>
        <w:tc>
          <w:tcPr>
            <w:tcW w:w="700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66"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March 31,</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700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700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20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211" w:type="dxa"/>
            <w:tcBorders/>
            <w:shd w:fill="FFFFFF" w:val="clear"/>
            <w:vAlign w:val="center"/>
          </w:tcPr>
          <w:p>
            <w:pPr>
              <w:pStyle w:val="TableContents"/>
              <w:bidi w:val="0"/>
              <w:spacing w:before="0" w:after="283"/>
              <w:jc w:val="center"/>
              <w:rPr/>
            </w:pPr>
            <w:r>
              <w:rPr/>
              <w:t> </w:t>
            </w:r>
          </w:p>
        </w:tc>
      </w:tr>
      <w:tr>
        <w:trPr/>
        <w:tc>
          <w:tcPr>
            <w:tcW w:w="70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Net cash provided by operating activities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28,587</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37,397</w:t>
            </w:r>
          </w:p>
        </w:tc>
        <w:tc>
          <w:tcPr>
            <w:tcW w:w="211" w:type="dxa"/>
            <w:tcBorders/>
            <w:shd w:fill="CFF0FC" w:val="clear"/>
            <w:vAlign w:val="center"/>
          </w:tcPr>
          <w:p>
            <w:pPr>
              <w:pStyle w:val="TableContents"/>
              <w:bidi w:val="0"/>
              <w:spacing w:before="0" w:after="283"/>
              <w:jc w:val="left"/>
              <w:rPr/>
            </w:pPr>
            <w:r>
              <w:rPr/>
              <w:t> </w:t>
            </w:r>
          </w:p>
        </w:tc>
      </w:tr>
      <w:tr>
        <w:trPr/>
        <w:tc>
          <w:tcPr>
            <w:tcW w:w="70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Net cash used in investing activities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99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(1,640,854</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(179,774</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70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Net cash provided by financing activities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1,648,400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187,622</w:t>
            </w:r>
          </w:p>
        </w:tc>
        <w:tc>
          <w:tcPr>
            <w:tcW w:w="211" w:type="dxa"/>
            <w:tcBorders/>
            <w:shd w:fill="CFF0FC" w:val="clear"/>
            <w:vAlign w:val="center"/>
          </w:tcPr>
          <w:p>
            <w:pPr>
              <w:pStyle w:val="TableContents"/>
              <w:bidi w:val="0"/>
              <w:spacing w:before="0" w:after="283"/>
              <w:jc w:val="left"/>
              <w:rPr/>
            </w:pPr>
            <w:r>
              <w:rPr/>
              <w:t> </w:t>
            </w:r>
          </w:p>
        </w:tc>
      </w:tr>
      <w:tr>
        <w:trPr/>
        <w:tc>
          <w:tcPr>
            <w:tcW w:w="70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Effect of foreign exchange rate changes on cash, cash equivalents, and restricted cash</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(1,078</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351</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70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Net increase in cash, cash equivalents, and restricted cash</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99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35,055</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45,596</w:t>
            </w:r>
          </w:p>
        </w:tc>
        <w:tc>
          <w:tcPr>
            <w:tcW w:w="211" w:type="dxa"/>
            <w:tcBorders/>
            <w:shd w:fill="CFF0FC" w:val="clear"/>
            <w:vAlign w:val="center"/>
          </w:tcPr>
          <w:p>
            <w:pPr>
              <w:pStyle w:val="TableContents"/>
              <w:bidi w:val="0"/>
              <w:spacing w:before="0" w:after="283"/>
              <w:jc w:val="left"/>
              <w:rPr/>
            </w:pPr>
            <w:r>
              <w:rPr/>
              <w:t> </w:t>
            </w:r>
          </w:p>
        </w:tc>
      </w:tr>
      <w:tr>
        <w:trPr/>
        <w:tc>
          <w:tcPr>
            <w:tcW w:w="70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Cash, cash equivalents, and restricted cash, beginning of period</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48,673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50,868</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70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Cash, cash equivalents, and restricted cash, end of period</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83,728</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96,464</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jc w:val="both"/>
        <w:rPr/>
      </w:pPr>
      <w:r>
        <w:rPr/>
        <w:t> </w:t>
      </w:r>
    </w:p>
    <w:p>
      <w:pPr>
        <w:pStyle w:val="TextBody"/>
        <w:bidi w:val="0"/>
        <w:jc w:val="left"/>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REVENUE AND COST OF REVENUE DETAIL</w:t>
      </w:r>
    </w:p>
    <w:p>
      <w:pPr>
        <w:pStyle w:val="TextBody"/>
        <w:bidi w:val="0"/>
        <w:jc w:val="center"/>
        <w:rPr>
          <w:rFonts w:ascii="Times New Roman" w:hAnsi="Times New Roman"/>
          <w:b/>
          <w:color w:val="000000"/>
          <w:sz w:val="20"/>
        </w:rPr>
      </w:pPr>
      <w:r>
        <w:rPr>
          <w:rFonts w:ascii="Times New Roman" w:hAnsi="Times New Roman"/>
          <w:b/>
          <w:color w:val="000000"/>
          <w:sz w:val="20"/>
        </w:rPr>
        <w:t>(in thousands)</w:t>
      </w:r>
    </w:p>
    <w:p>
      <w:pPr>
        <w:pStyle w:val="TextBody"/>
        <w:bidi w:val="0"/>
        <w:jc w:val="left"/>
        <w:rPr/>
      </w:pPr>
      <w:r>
        <w:rPr/>
        <w:t> </w:t>
      </w:r>
    </w:p>
    <w:tbl>
      <w:tblPr>
        <w:tblW w:w="7419" w:type="dxa"/>
        <w:jc w:val="left"/>
        <w:tblInd w:w="0" w:type="dxa"/>
        <w:tblLayout w:type="fixed"/>
        <w:tblCellMar>
          <w:top w:w="28" w:type="dxa"/>
          <w:left w:w="28" w:type="dxa"/>
          <w:bottom w:w="28" w:type="dxa"/>
          <w:right w:w="28" w:type="dxa"/>
        </w:tblCellMar>
      </w:tblPr>
      <w:tblGrid>
        <w:gridCol w:w="4406"/>
        <w:gridCol w:w="146"/>
        <w:gridCol w:w="211"/>
        <w:gridCol w:w="781"/>
        <w:gridCol w:w="146"/>
        <w:gridCol w:w="146"/>
        <w:gridCol w:w="211"/>
        <w:gridCol w:w="781"/>
        <w:gridCol w:w="591"/>
      </w:tblGrid>
      <w:tr>
        <w:trPr/>
        <w:tc>
          <w:tcPr>
            <w:tcW w:w="440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591" w:type="dxa"/>
            <w:tcBorders/>
            <w:vAlign w:val="center"/>
          </w:tcPr>
          <w:p>
            <w:pPr>
              <w:pStyle w:val="TableContents"/>
              <w:bidi w:val="0"/>
              <w:spacing w:before="0" w:after="283"/>
              <w:jc w:val="left"/>
              <w:rPr>
                <w:sz w:val="4"/>
                <w:szCs w:val="4"/>
              </w:rPr>
            </w:pPr>
            <w:r>
              <w:rPr>
                <w:sz w:val="4"/>
                <w:szCs w:val="4"/>
              </w:rPr>
            </w:r>
          </w:p>
        </w:tc>
      </w:tr>
      <w:tr>
        <w:trPr/>
        <w:tc>
          <w:tcPr>
            <w:tcW w:w="440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276"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591" w:type="dxa"/>
            <w:tcBorders/>
            <w:shd w:fill="FFFFFF" w:val="clear"/>
            <w:vAlign w:val="center"/>
          </w:tcPr>
          <w:p>
            <w:pPr>
              <w:pStyle w:val="TableContents"/>
              <w:bidi w:val="0"/>
              <w:spacing w:before="0" w:after="283"/>
              <w:jc w:val="center"/>
              <w:rPr/>
            </w:pPr>
            <w:r>
              <w:rPr/>
              <w:t> </w:t>
            </w:r>
          </w:p>
        </w:tc>
      </w:tr>
      <w:tr>
        <w:trPr/>
        <w:tc>
          <w:tcPr>
            <w:tcW w:w="440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276"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March 31,</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40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40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591" w:type="dxa"/>
            <w:tcBorders/>
            <w:shd w:fill="FFFFFF" w:val="clear"/>
            <w:vAlign w:val="center"/>
          </w:tcPr>
          <w:p>
            <w:pPr>
              <w:pStyle w:val="TableContents"/>
              <w:bidi w:val="0"/>
              <w:spacing w:before="0" w:after="283"/>
              <w:jc w:val="center"/>
              <w:rPr/>
            </w:pPr>
            <w:r>
              <w:rPr/>
              <w:t> </w:t>
            </w:r>
          </w:p>
        </w:tc>
      </w:tr>
      <w:tr>
        <w:trPr/>
        <w:tc>
          <w:tcPr>
            <w:tcW w:w="440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Revenues</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right"/>
              <w:rPr/>
            </w:pPr>
            <w:r>
              <w:rPr/>
              <w:t> </w:t>
            </w:r>
          </w:p>
        </w:tc>
        <w:tc>
          <w:tcPr>
            <w:tcW w:w="591" w:type="dxa"/>
            <w:tcBorders/>
            <w:shd w:fill="CFF0FC" w:val="clear"/>
            <w:vAlign w:val="center"/>
          </w:tcPr>
          <w:p>
            <w:pPr>
              <w:pStyle w:val="TableContents"/>
              <w:bidi w:val="0"/>
              <w:spacing w:before="0" w:after="283"/>
              <w:jc w:val="right"/>
              <w:rPr/>
            </w:pPr>
            <w:r>
              <w:rPr/>
              <w:t> </w:t>
            </w:r>
          </w:p>
        </w:tc>
      </w:tr>
      <w:tr>
        <w:trPr/>
        <w:tc>
          <w:tcPr>
            <w:tcW w:w="44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licenses and subscription services:</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right"/>
              <w:rPr/>
            </w:pPr>
            <w:r>
              <w:rPr/>
              <w:t> </w:t>
            </w:r>
          </w:p>
        </w:tc>
        <w:tc>
          <w:tcPr>
            <w:tcW w:w="591" w:type="dxa"/>
            <w:tcBorders/>
            <w:shd w:fill="FFFFFF" w:val="clear"/>
            <w:vAlign w:val="center"/>
          </w:tcPr>
          <w:p>
            <w:pPr>
              <w:pStyle w:val="TableContents"/>
              <w:bidi w:val="0"/>
              <w:spacing w:before="0" w:after="283"/>
              <w:ind w:left="0" w:right="0" w:firstLine="200"/>
              <w:jc w:val="right"/>
              <w:rPr/>
            </w:pPr>
            <w:r>
              <w:rPr/>
              <w:t> </w:t>
            </w:r>
          </w:p>
        </w:tc>
      </w:tr>
      <w:tr>
        <w:trPr/>
        <w:tc>
          <w:tcPr>
            <w:tcW w:w="4406"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licenses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12,938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17,412</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406"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Subscription services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22,966</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18,810</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406" w:type="dxa"/>
            <w:tcBorders/>
            <w:shd w:fill="CFF0FC"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Total product licenses and subscription services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35,904</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36,222</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44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support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62,685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65,481</w:t>
            </w:r>
          </w:p>
        </w:tc>
        <w:tc>
          <w:tcPr>
            <w:tcW w:w="591" w:type="dxa"/>
            <w:tcBorders/>
            <w:shd w:fill="FFFFFF" w:val="clear"/>
            <w:vAlign w:val="center"/>
          </w:tcPr>
          <w:p>
            <w:pPr>
              <w:pStyle w:val="TableContents"/>
              <w:bidi w:val="0"/>
              <w:spacing w:before="0" w:after="283"/>
              <w:jc w:val="left"/>
              <w:rPr/>
            </w:pPr>
            <w:r>
              <w:rPr/>
              <w:t> </w:t>
            </w:r>
          </w:p>
        </w:tc>
      </w:tr>
      <w:tr>
        <w:trPr/>
        <w:tc>
          <w:tcPr>
            <w:tcW w:w="44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Other services:</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right"/>
              <w:rPr/>
            </w:pPr>
            <w:r>
              <w:rPr/>
              <w:t> </w:t>
            </w:r>
          </w:p>
        </w:tc>
        <w:tc>
          <w:tcPr>
            <w:tcW w:w="591" w:type="dxa"/>
            <w:tcBorders/>
            <w:shd w:fill="CFF0FC" w:val="clear"/>
            <w:vAlign w:val="center"/>
          </w:tcPr>
          <w:p>
            <w:pPr>
              <w:pStyle w:val="TableContents"/>
              <w:bidi w:val="0"/>
              <w:spacing w:before="0" w:after="283"/>
              <w:ind w:left="0" w:right="0" w:firstLine="200"/>
              <w:jc w:val="right"/>
              <w:rPr/>
            </w:pPr>
            <w:r>
              <w:rPr/>
              <w:t> </w:t>
            </w:r>
          </w:p>
        </w:tc>
      </w:tr>
      <w:tr>
        <w:trPr/>
        <w:tc>
          <w:tcPr>
            <w:tcW w:w="4406"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Consulting</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15,815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19,337</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4406"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Education</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842</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875</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406" w:type="dxa"/>
            <w:tcBorders/>
            <w:shd w:fill="FFFFFF"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Total other services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16,657</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20,212</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406" w:type="dxa"/>
            <w:tcBorders/>
            <w:shd w:fill="CFF0FC" w:val="clear"/>
            <w:vAlign w:val="center"/>
          </w:tcPr>
          <w:p>
            <w:pPr>
              <w:pStyle w:val="TableContents"/>
              <w:bidi w:val="0"/>
              <w:spacing w:before="0" w:after="283"/>
              <w:ind w:left="400" w:right="0" w:firstLine="400"/>
              <w:jc w:val="left"/>
              <w:rPr>
                <w:rFonts w:ascii="Times New Roman" w:hAnsi="Times New Roman"/>
                <w:b/>
                <w:color w:val="000000"/>
                <w:sz w:val="20"/>
              </w:rPr>
            </w:pPr>
            <w:r>
              <w:rPr>
                <w:rFonts w:ascii="Times New Roman" w:hAnsi="Times New Roman"/>
                <w:b/>
                <w:color w:val="000000"/>
                <w:sz w:val="20"/>
              </w:rPr>
              <w:t>Total revenues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115,246</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121,915</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4406" w:type="dxa"/>
            <w:tcBorders/>
            <w:shd w:fill="FFFFFF" w:val="clear"/>
            <w:vAlign w:val="center"/>
          </w:tcPr>
          <w:p>
            <w:pPr>
              <w:pStyle w:val="TableContents"/>
              <w:bidi w:val="0"/>
              <w:spacing w:before="0" w:after="283"/>
              <w:jc w:val="left"/>
              <w:rPr>
                <w:sz w:val="4"/>
                <w:szCs w:val="4"/>
              </w:rPr>
            </w:pPr>
            <w:r>
              <w:rPr>
                <w:sz w:val="4"/>
                <w:szCs w:val="4"/>
              </w:rPr>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right"/>
              <w:rPr/>
            </w:pPr>
            <w:r>
              <w:rPr/>
              <w:t> </w:t>
            </w:r>
          </w:p>
        </w:tc>
        <w:tc>
          <w:tcPr>
            <w:tcW w:w="591" w:type="dxa"/>
            <w:tcBorders/>
            <w:shd w:fill="FFFFFF" w:val="clear"/>
            <w:vAlign w:val="center"/>
          </w:tcPr>
          <w:p>
            <w:pPr>
              <w:pStyle w:val="TableContents"/>
              <w:bidi w:val="0"/>
              <w:spacing w:before="0" w:after="283"/>
              <w:jc w:val="right"/>
              <w:rPr/>
            </w:pPr>
            <w:r>
              <w:rPr/>
              <w:t> </w:t>
            </w:r>
          </w:p>
        </w:tc>
      </w:tr>
      <w:tr>
        <w:trPr/>
        <w:tc>
          <w:tcPr>
            <w:tcW w:w="440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Cost of revenues</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right"/>
              <w:rPr/>
            </w:pPr>
            <w:r>
              <w:rPr/>
              <w:t> </w:t>
            </w:r>
          </w:p>
        </w:tc>
        <w:tc>
          <w:tcPr>
            <w:tcW w:w="591" w:type="dxa"/>
            <w:tcBorders/>
            <w:shd w:fill="CFF0FC" w:val="clear"/>
            <w:vAlign w:val="center"/>
          </w:tcPr>
          <w:p>
            <w:pPr>
              <w:pStyle w:val="TableContents"/>
              <w:bidi w:val="0"/>
              <w:spacing w:before="0" w:after="283"/>
              <w:jc w:val="right"/>
              <w:rPr/>
            </w:pPr>
            <w:r>
              <w:rPr/>
              <w:t> </w:t>
            </w:r>
          </w:p>
        </w:tc>
      </w:tr>
      <w:tr>
        <w:trPr/>
        <w:tc>
          <w:tcPr>
            <w:tcW w:w="44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licenses and subscription services:</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right"/>
              <w:rPr/>
            </w:pPr>
            <w:r>
              <w:rPr/>
              <w:t> </w:t>
            </w:r>
          </w:p>
        </w:tc>
        <w:tc>
          <w:tcPr>
            <w:tcW w:w="591" w:type="dxa"/>
            <w:tcBorders/>
            <w:shd w:fill="FFFFFF" w:val="clear"/>
            <w:vAlign w:val="center"/>
          </w:tcPr>
          <w:p>
            <w:pPr>
              <w:pStyle w:val="TableContents"/>
              <w:bidi w:val="0"/>
              <w:spacing w:before="0" w:after="283"/>
              <w:ind w:left="0" w:right="0" w:firstLine="200"/>
              <w:jc w:val="right"/>
              <w:rPr/>
            </w:pPr>
            <w:r>
              <w:rPr/>
              <w:t> </w:t>
            </w:r>
          </w:p>
        </w:tc>
      </w:tr>
      <w:tr>
        <w:trPr/>
        <w:tc>
          <w:tcPr>
            <w:tcW w:w="4406"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Product licenses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567</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534</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406"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Subscription services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8,604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7,856</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406" w:type="dxa"/>
            <w:tcBorders/>
            <w:shd w:fill="CFF0FC"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Total product licenses and subscription services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9,171</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8,390</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440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support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8,547</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5,768</w:t>
            </w:r>
          </w:p>
        </w:tc>
        <w:tc>
          <w:tcPr>
            <w:tcW w:w="591" w:type="dxa"/>
            <w:tcBorders/>
            <w:shd w:fill="FFFFFF" w:val="clear"/>
            <w:vAlign w:val="center"/>
          </w:tcPr>
          <w:p>
            <w:pPr>
              <w:pStyle w:val="TableContents"/>
              <w:bidi w:val="0"/>
              <w:spacing w:before="0" w:after="283"/>
              <w:jc w:val="left"/>
              <w:rPr/>
            </w:pPr>
            <w:r>
              <w:rPr/>
              <w:t> </w:t>
            </w:r>
          </w:p>
        </w:tc>
      </w:tr>
      <w:tr>
        <w:trPr/>
        <w:tc>
          <w:tcPr>
            <w:tcW w:w="440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Other services:</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right"/>
              <w:rPr/>
            </w:pPr>
            <w:r>
              <w:rPr/>
              <w:t> </w:t>
            </w:r>
          </w:p>
        </w:tc>
        <w:tc>
          <w:tcPr>
            <w:tcW w:w="591" w:type="dxa"/>
            <w:tcBorders/>
            <w:shd w:fill="CFF0FC" w:val="clear"/>
            <w:vAlign w:val="center"/>
          </w:tcPr>
          <w:p>
            <w:pPr>
              <w:pStyle w:val="TableContents"/>
              <w:bidi w:val="0"/>
              <w:spacing w:before="0" w:after="283"/>
              <w:ind w:left="0" w:right="0" w:firstLine="200"/>
              <w:jc w:val="right"/>
              <w:rPr/>
            </w:pPr>
            <w:r>
              <w:rPr/>
              <w:t> </w:t>
            </w:r>
          </w:p>
        </w:tc>
      </w:tr>
      <w:tr>
        <w:trPr/>
        <w:tc>
          <w:tcPr>
            <w:tcW w:w="4406"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Consulting</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11,746</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13,012</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4406"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Education</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551</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771</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406" w:type="dxa"/>
            <w:tcBorders/>
            <w:shd w:fill="FFFFFF"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Total other services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12,297</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13,783</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406" w:type="dxa"/>
            <w:tcBorders/>
            <w:shd w:fill="CFF0FC" w:val="clear"/>
            <w:vAlign w:val="center"/>
          </w:tcPr>
          <w:p>
            <w:pPr>
              <w:pStyle w:val="TableContents"/>
              <w:bidi w:val="0"/>
              <w:spacing w:before="0" w:after="283"/>
              <w:ind w:left="400" w:right="0" w:firstLine="400"/>
              <w:jc w:val="left"/>
              <w:rPr>
                <w:rFonts w:ascii="Times New Roman" w:hAnsi="Times New Roman"/>
                <w:b/>
                <w:color w:val="000000"/>
                <w:sz w:val="20"/>
              </w:rPr>
            </w:pPr>
            <w:r>
              <w:rPr>
                <w:rFonts w:ascii="Times New Roman" w:hAnsi="Times New Roman"/>
                <w:b/>
                <w:color w:val="000000"/>
                <w:sz w:val="20"/>
              </w:rPr>
              <w:t>Total cost of revenues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30,015</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27,941</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440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right"/>
              <w:rPr/>
            </w:pPr>
            <w:r>
              <w:rPr/>
              <w:t> </w:t>
            </w:r>
          </w:p>
        </w:tc>
        <w:tc>
          <w:tcPr>
            <w:tcW w:w="591" w:type="dxa"/>
            <w:tcBorders/>
            <w:shd w:fill="FFFFFF" w:val="clear"/>
            <w:vAlign w:val="center"/>
          </w:tcPr>
          <w:p>
            <w:pPr>
              <w:pStyle w:val="TableContents"/>
              <w:bidi w:val="0"/>
              <w:spacing w:before="0" w:after="283"/>
              <w:jc w:val="right"/>
              <w:rPr/>
            </w:pPr>
            <w:r>
              <w:rPr/>
              <w:t> </w:t>
            </w:r>
          </w:p>
        </w:tc>
      </w:tr>
      <w:tr>
        <w:trPr/>
        <w:tc>
          <w:tcPr>
            <w:tcW w:w="440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Gross profit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85,231</w:t>
            </w:r>
          </w:p>
        </w:tc>
        <w:tc>
          <w:tcPr>
            <w:tcW w:w="14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93,974</w:t>
            </w:r>
          </w:p>
        </w:tc>
        <w:tc>
          <w:tcPr>
            <w:tcW w:w="5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jc w:val="both"/>
        <w:rPr/>
      </w:pPr>
      <w:r>
        <w:rPr/>
        <w:t> </w:t>
      </w:r>
    </w:p>
    <w:p>
      <w:pPr>
        <w:pStyle w:val="TextBody"/>
        <w:bidi w:val="0"/>
        <w:jc w:val="both"/>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sz w:val="20"/>
        </w:rPr>
      </w:pPr>
      <w:r>
        <w:rPr>
          <w:rFonts w:ascii="Times New Roman" w:hAnsi="Times New Roman"/>
          <w:b/>
          <w:color w:val="000000"/>
          <w:sz w:val="20"/>
        </w:rPr>
        <w:t>DIGITAL ASSETS – ADDITIONAL INFORMATION</w:t>
      </w:r>
      <w:r>
        <w:rPr>
          <w:rFonts w:ascii="Times New Roman" w:hAnsi="Times New Roman"/>
          <w:color w:val="000000"/>
          <w:sz w:val="20"/>
        </w:rPr>
        <w:t xml:space="preserve"> </w:t>
      </w:r>
    </w:p>
    <w:p>
      <w:pPr>
        <w:pStyle w:val="TextBody"/>
        <w:bidi w:val="0"/>
        <w:jc w:val="center"/>
        <w:rPr>
          <w:rFonts w:ascii="Times New Roman" w:hAnsi="Times New Roman"/>
          <w:sz w:val="20"/>
        </w:rPr>
      </w:pPr>
      <w:r>
        <w:rPr>
          <w:rFonts w:ascii="Times New Roman" w:hAnsi="Times New Roman"/>
          <w:b/>
          <w:color w:val="000000"/>
          <w:sz w:val="20"/>
        </w:rPr>
        <w:t>ROLLFORWARD OF BITCOIN HOLDINGS</w:t>
      </w:r>
      <w:r>
        <w:rPr>
          <w:rFonts w:ascii="Times New Roman" w:hAnsi="Times New Roman"/>
          <w:color w:val="000000"/>
          <w:sz w:val="20"/>
        </w:rPr>
        <w:t xml:space="preserve"> </w:t>
      </w:r>
    </w:p>
    <w:p>
      <w:pPr>
        <w:pStyle w:val="TextBody"/>
        <w:bidi w:val="0"/>
        <w:jc w:val="center"/>
        <w:rPr>
          <w:rFonts w:ascii="Times New Roman" w:hAnsi="Times New Roman"/>
          <w:b/>
          <w:color w:val="000000"/>
          <w:sz w:val="20"/>
        </w:rPr>
      </w:pPr>
      <w:r>
        <w:rPr>
          <w:rFonts w:ascii="Times New Roman" w:hAnsi="Times New Roman"/>
          <w:b/>
          <w:color w:val="000000"/>
          <w:sz w:val="20"/>
        </w:rPr>
        <w:t>(unaudited)</w:t>
      </w:r>
    </w:p>
    <w:p>
      <w:pPr>
        <w:pStyle w:val="TextBody"/>
        <w:bidi w:val="0"/>
        <w:jc w:val="center"/>
        <w:rPr/>
      </w:pPr>
      <w:r>
        <w:rPr/>
        <w:t> </w:t>
      </w:r>
    </w:p>
    <w:tbl>
      <w:tblPr>
        <w:tblW w:w="10205" w:type="dxa"/>
        <w:jc w:val="left"/>
        <w:tblInd w:w="0" w:type="dxa"/>
        <w:tblLayout w:type="fixed"/>
        <w:tblCellMar>
          <w:top w:w="28" w:type="dxa"/>
          <w:left w:w="28" w:type="dxa"/>
          <w:bottom w:w="28" w:type="dxa"/>
          <w:right w:w="28" w:type="dxa"/>
        </w:tblCellMar>
      </w:tblPr>
      <w:tblGrid>
        <w:gridCol w:w="1337"/>
        <w:gridCol w:w="146"/>
        <w:gridCol w:w="901"/>
        <w:gridCol w:w="146"/>
        <w:gridCol w:w="224"/>
        <w:gridCol w:w="992"/>
        <w:gridCol w:w="146"/>
        <w:gridCol w:w="146"/>
        <w:gridCol w:w="222"/>
        <w:gridCol w:w="1046"/>
        <w:gridCol w:w="166"/>
        <w:gridCol w:w="146"/>
        <w:gridCol w:w="222"/>
        <w:gridCol w:w="980"/>
        <w:gridCol w:w="166"/>
        <w:gridCol w:w="146"/>
        <w:gridCol w:w="183"/>
        <w:gridCol w:w="990"/>
        <w:gridCol w:w="146"/>
        <w:gridCol w:w="146"/>
        <w:gridCol w:w="287"/>
        <w:gridCol w:w="923"/>
        <w:gridCol w:w="398"/>
      </w:tblGrid>
      <w:tr>
        <w:trPr/>
        <w:tc>
          <w:tcPr>
            <w:tcW w:w="1337"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90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24" w:type="dxa"/>
            <w:tcBorders/>
            <w:vAlign w:val="center"/>
          </w:tcPr>
          <w:p>
            <w:pPr>
              <w:pStyle w:val="TableContents"/>
              <w:bidi w:val="0"/>
              <w:spacing w:before="0" w:after="283"/>
              <w:jc w:val="left"/>
              <w:rPr>
                <w:sz w:val="4"/>
                <w:szCs w:val="4"/>
              </w:rPr>
            </w:pPr>
            <w:r>
              <w:rPr>
                <w:sz w:val="4"/>
                <w:szCs w:val="4"/>
              </w:rPr>
            </w:r>
          </w:p>
        </w:tc>
        <w:tc>
          <w:tcPr>
            <w:tcW w:w="992"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22" w:type="dxa"/>
            <w:tcBorders/>
            <w:vAlign w:val="center"/>
          </w:tcPr>
          <w:p>
            <w:pPr>
              <w:pStyle w:val="TableContents"/>
              <w:bidi w:val="0"/>
              <w:spacing w:before="0" w:after="283"/>
              <w:jc w:val="left"/>
              <w:rPr>
                <w:sz w:val="4"/>
                <w:szCs w:val="4"/>
              </w:rPr>
            </w:pPr>
            <w:r>
              <w:rPr>
                <w:sz w:val="4"/>
                <w:szCs w:val="4"/>
              </w:rPr>
            </w:r>
          </w:p>
        </w:tc>
        <w:tc>
          <w:tcPr>
            <w:tcW w:w="1046"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22" w:type="dxa"/>
            <w:tcBorders/>
            <w:vAlign w:val="center"/>
          </w:tcPr>
          <w:p>
            <w:pPr>
              <w:pStyle w:val="TableContents"/>
              <w:bidi w:val="0"/>
              <w:spacing w:before="0" w:after="283"/>
              <w:jc w:val="left"/>
              <w:rPr>
                <w:sz w:val="4"/>
                <w:szCs w:val="4"/>
              </w:rPr>
            </w:pPr>
            <w:r>
              <w:rPr>
                <w:sz w:val="4"/>
                <w:szCs w:val="4"/>
              </w:rPr>
            </w:r>
          </w:p>
        </w:tc>
        <w:tc>
          <w:tcPr>
            <w:tcW w:w="98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83" w:type="dxa"/>
            <w:tcBorders/>
            <w:vAlign w:val="center"/>
          </w:tcPr>
          <w:p>
            <w:pPr>
              <w:pStyle w:val="TableContents"/>
              <w:bidi w:val="0"/>
              <w:spacing w:before="0" w:after="283"/>
              <w:jc w:val="left"/>
              <w:rPr>
                <w:sz w:val="4"/>
                <w:szCs w:val="4"/>
              </w:rPr>
            </w:pPr>
            <w:r>
              <w:rPr>
                <w:sz w:val="4"/>
                <w:szCs w:val="4"/>
              </w:rPr>
            </w:r>
          </w:p>
        </w:tc>
        <w:tc>
          <w:tcPr>
            <w:tcW w:w="990"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87" w:type="dxa"/>
            <w:tcBorders/>
            <w:vAlign w:val="center"/>
          </w:tcPr>
          <w:p>
            <w:pPr>
              <w:pStyle w:val="TableContents"/>
              <w:bidi w:val="0"/>
              <w:spacing w:before="0" w:after="283"/>
              <w:jc w:val="left"/>
              <w:rPr>
                <w:sz w:val="4"/>
                <w:szCs w:val="4"/>
              </w:rPr>
            </w:pPr>
            <w:r>
              <w:rPr>
                <w:sz w:val="4"/>
                <w:szCs w:val="4"/>
              </w:rPr>
            </w:r>
          </w:p>
        </w:tc>
        <w:tc>
          <w:tcPr>
            <w:tcW w:w="923" w:type="dxa"/>
            <w:tcBorders/>
            <w:vAlign w:val="center"/>
          </w:tcPr>
          <w:p>
            <w:pPr>
              <w:pStyle w:val="TableContents"/>
              <w:bidi w:val="0"/>
              <w:spacing w:before="0" w:after="283"/>
              <w:jc w:val="left"/>
              <w:rPr>
                <w:sz w:val="4"/>
                <w:szCs w:val="4"/>
              </w:rPr>
            </w:pPr>
            <w:r>
              <w:rPr>
                <w:sz w:val="4"/>
                <w:szCs w:val="4"/>
              </w:rPr>
            </w:r>
          </w:p>
        </w:tc>
        <w:tc>
          <w:tcPr>
            <w:tcW w:w="398" w:type="dxa"/>
            <w:tcBorders/>
            <w:vAlign w:val="center"/>
          </w:tcPr>
          <w:p>
            <w:pPr>
              <w:pStyle w:val="TableContents"/>
              <w:bidi w:val="0"/>
              <w:spacing w:before="0" w:after="283"/>
              <w:jc w:val="left"/>
              <w:rPr>
                <w:sz w:val="4"/>
                <w:szCs w:val="4"/>
              </w:rPr>
            </w:pPr>
            <w:r>
              <w:rPr>
                <w:sz w:val="4"/>
                <w:szCs w:val="4"/>
              </w:rPr>
            </w:r>
          </w:p>
        </w:tc>
      </w:tr>
      <w:tr>
        <w:trPr/>
        <w:tc>
          <w:tcPr>
            <w:tcW w:w="1337"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0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Source of Capital Used to Purchase Bitcoin</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216"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 xml:space="preserve">Digital Asset Original Cost Basis </w:t>
              <w:br/>
              <w:t>(in thousands)</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68"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Digital Asset Impairment Losses</w:t>
              <w:br/>
              <w:t>(in thousands)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0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 xml:space="preserve">Digital Asset Carrying Value </w:t>
              <w:br/>
              <w:t>(in thousands)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Approximate Number of Bitcoins Held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Approximate Average Purchase Price Per Bitcoin</w:t>
            </w:r>
          </w:p>
        </w:tc>
        <w:tc>
          <w:tcPr>
            <w:tcW w:w="39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33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December 31, 2022</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3,993,190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(2,153,162</w:t>
            </w:r>
          </w:p>
        </w:tc>
        <w:tc>
          <w:tcPr>
            <w:tcW w:w="16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1,840,028</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132,500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30,137</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(a)</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pPr>
            <w:r>
              <w:rPr/>
              <w:t> </w:t>
            </w:r>
          </w:p>
        </w:tc>
        <w:tc>
          <w:tcPr>
            <w:tcW w:w="99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179,275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268"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pPr>
            <w:r>
              <w:rPr/>
              <w:t> </w:t>
            </w:r>
          </w:p>
        </w:tc>
        <w:tc>
          <w:tcPr>
            <w:tcW w:w="98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179,275</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7,500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pPr>
            <w:r>
              <w:rPr/>
              <w:t> </w:t>
            </w:r>
          </w:p>
        </w:tc>
        <w:tc>
          <w:tcPr>
            <w:tcW w:w="923"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23,903</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(18,911</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(18,911</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March 31, 2023</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4,172,465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(2,172,073</w:t>
            </w:r>
          </w:p>
        </w:tc>
        <w:tc>
          <w:tcPr>
            <w:tcW w:w="166"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2,000,392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140,000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29,803</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(b)</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pPr>
            <w:r>
              <w:rPr/>
              <w:t> </w:t>
            </w:r>
          </w:p>
        </w:tc>
        <w:tc>
          <w:tcPr>
            <w:tcW w:w="99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347,003</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268"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pPr>
            <w:r>
              <w:rPr/>
              <w:t> </w:t>
            </w:r>
          </w:p>
        </w:tc>
        <w:tc>
          <w:tcPr>
            <w:tcW w:w="9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347,003</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12,333</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pPr>
            <w:r>
              <w:rPr/>
              <w:t> </w:t>
            </w:r>
          </w:p>
        </w:tc>
        <w:tc>
          <w:tcPr>
            <w:tcW w:w="923"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28,136</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(24,143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(24,143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June 30, 2023</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4,519,468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(2,196,216</w:t>
            </w:r>
          </w:p>
        </w:tc>
        <w:tc>
          <w:tcPr>
            <w:tcW w:w="16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2,323,252</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152,333</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29,668</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(c)</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pPr>
            <w:r>
              <w:rPr/>
              <w:t> </w:t>
            </w:r>
          </w:p>
        </w:tc>
        <w:tc>
          <w:tcPr>
            <w:tcW w:w="99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161,681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268"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pPr>
            <w:r>
              <w:rPr/>
              <w:t> </w:t>
            </w:r>
          </w:p>
        </w:tc>
        <w:tc>
          <w:tcPr>
            <w:tcW w:w="98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161,681</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5,912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pPr>
            <w:r>
              <w:rPr/>
              <w:t> </w:t>
            </w:r>
          </w:p>
        </w:tc>
        <w:tc>
          <w:tcPr>
            <w:tcW w:w="923"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27,348</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(33,559</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(33,559</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September 30, 2023</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4,681,149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(2,229,775</w:t>
            </w:r>
          </w:p>
        </w:tc>
        <w:tc>
          <w:tcPr>
            <w:tcW w:w="166"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2,451,374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158,245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29,582</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(d)</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pPr>
            <w:r>
              <w:rPr/>
              <w:t> </w:t>
            </w:r>
          </w:p>
        </w:tc>
        <w:tc>
          <w:tcPr>
            <w:tcW w:w="99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1,214,340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268" w:type="dxa"/>
            <w:gridSpan w:val="2"/>
            <w:tcBorders/>
            <w:shd w:fill="CFF0FC" w:val="clear"/>
            <w:vAlign w:val="center"/>
          </w:tcPr>
          <w:p>
            <w:pPr>
              <w:pStyle w:val="TableContents"/>
              <w:bidi w:val="0"/>
              <w:spacing w:before="0" w:after="283"/>
              <w:jc w:val="right"/>
              <w:rPr/>
            </w:pPr>
            <w:r>
              <w:rPr/>
              <w:t> </w:t>
            </w:r>
          </w:p>
        </w:tc>
        <w:tc>
          <w:tcPr>
            <w:tcW w:w="166" w:type="dxa"/>
            <w:tcBorders/>
            <w:shd w:fill="CFF0FC" w:val="cle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pPr>
            <w:r>
              <w:rPr/>
              <w:t> </w:t>
            </w:r>
          </w:p>
        </w:tc>
        <w:tc>
          <w:tcPr>
            <w:tcW w:w="9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1,214,340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30,905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pPr>
            <w:r>
              <w:rPr/>
              <w:t> </w:t>
            </w:r>
          </w:p>
        </w:tc>
        <w:tc>
          <w:tcPr>
            <w:tcW w:w="923"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39,293</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(39,238</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(39,238</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December 31, 2023</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224"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5,895,489</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(2,269,013</w:t>
            </w:r>
          </w:p>
        </w:tc>
        <w:tc>
          <w:tcPr>
            <w:tcW w:w="166"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3,626,476</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183" w:type="dxa"/>
            <w:tcBorders/>
            <w:shd w:fill="CFF0FC" w:val="clear"/>
            <w:vAlign w:val="center"/>
          </w:tcPr>
          <w:p>
            <w:pPr>
              <w:pStyle w:val="TableContents"/>
              <w:bidi w:val="0"/>
              <w:spacing w:before="0" w:after="283"/>
              <w:jc w:val="left"/>
              <w:rPr/>
            </w:pPr>
            <w:r>
              <w:rPr/>
              <w:t> </w:t>
            </w:r>
          </w:p>
        </w:tc>
        <w:tc>
          <w:tcPr>
            <w:tcW w:w="990"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189,150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87"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CFF0FC"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31,168</w:t>
            </w:r>
          </w:p>
        </w:tc>
        <w:tc>
          <w:tcPr>
            <w:tcW w:w="398" w:type="dxa"/>
            <w:tcBorders/>
            <w:shd w:fill="CFF0FC" w:val="clear"/>
            <w:vAlign w:val="center"/>
          </w:tcPr>
          <w:p>
            <w:pPr>
              <w:pStyle w:val="TableContents"/>
              <w:bidi w:val="0"/>
              <w:spacing w:before="0" w:after="283"/>
              <w:ind w:left="0" w:right="0" w:firstLine="200"/>
              <w:jc w:val="left"/>
              <w:rPr/>
            </w:pPr>
            <w:r>
              <w:rPr/>
              <w:t> </w:t>
            </w:r>
          </w:p>
        </w:tc>
      </w:tr>
      <w:tr>
        <w:trPr/>
        <w:tc>
          <w:tcPr>
            <w:tcW w:w="1337"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purchases</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(e)</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pPr>
            <w:r>
              <w:rPr/>
              <w:t> </w:t>
            </w:r>
          </w:p>
        </w:tc>
        <w:tc>
          <w:tcPr>
            <w:tcW w:w="99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1,639,309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268" w:type="dxa"/>
            <w:gridSpan w:val="2"/>
            <w:tcBorders/>
            <w:shd w:fill="FFFFFF" w:val="clear"/>
            <w:vAlign w:val="center"/>
          </w:tcPr>
          <w:p>
            <w:pPr>
              <w:pStyle w:val="TableContents"/>
              <w:bidi w:val="0"/>
              <w:spacing w:before="0" w:after="283"/>
              <w:jc w:val="right"/>
              <w:rPr/>
            </w:pPr>
            <w:r>
              <w:rPr/>
              <w:t> </w:t>
            </w:r>
          </w:p>
        </w:tc>
        <w:tc>
          <w:tcPr>
            <w:tcW w:w="166" w:type="dxa"/>
            <w:tcBorders/>
            <w:shd w:fill="FFFFFF" w:val="clear"/>
            <w:vAlign w:val="center"/>
          </w:tcPr>
          <w:p>
            <w:pPr>
              <w:pStyle w:val="TableContents"/>
              <w:bidi w:val="0"/>
              <w:spacing w:before="0" w:after="283"/>
              <w:jc w:val="righ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pPr>
            <w:r>
              <w:rPr/>
              <w:t> </w:t>
            </w:r>
          </w:p>
        </w:tc>
        <w:tc>
          <w:tcPr>
            <w:tcW w:w="98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1,639,309</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25,128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pPr>
            <w:r>
              <w:rPr/>
              <w:t> </w:t>
            </w:r>
          </w:p>
        </w:tc>
        <w:tc>
          <w:tcPr>
            <w:tcW w:w="923"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65,238</w:t>
            </w:r>
          </w:p>
        </w:tc>
        <w:tc>
          <w:tcPr>
            <w:tcW w:w="398" w:type="dxa"/>
            <w:tcBorders/>
            <w:shd w:fill="FFFFFF" w:val="clear"/>
            <w:vAlign w:val="center"/>
          </w:tcPr>
          <w:p>
            <w:pPr>
              <w:pStyle w:val="TableContents"/>
              <w:bidi w:val="0"/>
              <w:spacing w:before="0" w:after="283"/>
              <w:ind w:left="0" w:right="0" w:firstLine="200"/>
              <w:jc w:val="left"/>
              <w:rPr/>
            </w:pPr>
            <w:r>
              <w:rPr/>
              <w:t> </w:t>
            </w:r>
          </w:p>
        </w:tc>
      </w:tr>
      <w:tr>
        <w:trPr/>
        <w:tc>
          <w:tcPr>
            <w:tcW w:w="1337"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Digital asset impairment losses</w:t>
            </w:r>
          </w:p>
        </w:tc>
        <w:tc>
          <w:tcPr>
            <w:tcW w:w="146" w:type="dxa"/>
            <w:tcBorders/>
            <w:shd w:fill="CFF0FC" w:val="clear"/>
            <w:vAlign w:val="center"/>
          </w:tcPr>
          <w:p>
            <w:pPr>
              <w:pStyle w:val="TableContents"/>
              <w:bidi w:val="0"/>
              <w:spacing w:before="0" w:after="283"/>
              <w:jc w:val="center"/>
              <w:rPr/>
            </w:pPr>
            <w:r>
              <w:rPr/>
              <w:t> </w:t>
            </w:r>
          </w:p>
        </w:tc>
        <w:tc>
          <w:tcPr>
            <w:tcW w:w="901" w:type="dxa"/>
            <w:tcBorders/>
            <w:shd w:fill="CFF0FC" w:val="clear"/>
            <w:vAlign w:val="center"/>
          </w:tcPr>
          <w:p>
            <w:pPr>
              <w:pStyle w:val="TableContents"/>
              <w:bidi w:val="0"/>
              <w:spacing w:before="0" w:after="283"/>
              <w:jc w:val="center"/>
              <w:rPr/>
            </w:pPr>
            <w:r>
              <w:rPr/>
              <w:t> </w:t>
            </w:r>
          </w:p>
        </w:tc>
        <w:tc>
          <w:tcPr>
            <w:tcW w:w="146" w:type="dxa"/>
            <w:tcBorders/>
            <w:shd w:fill="CFF0FC" w:val="clear"/>
            <w:vAlign w:val="center"/>
          </w:tcPr>
          <w:p>
            <w:pPr>
              <w:pStyle w:val="TableContents"/>
              <w:bidi w:val="0"/>
              <w:spacing w:before="0" w:after="283"/>
              <w:jc w:val="center"/>
              <w:rPr/>
            </w:pPr>
            <w:r>
              <w:rPr/>
              <w:t> </w:t>
            </w:r>
          </w:p>
        </w:tc>
        <w:tc>
          <w:tcPr>
            <w:tcW w:w="1216"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0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(191,633</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22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980"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(191,633</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center"/>
              <w:rPr/>
            </w:pPr>
            <w:r>
              <w:rPr/>
              <w:t> </w:t>
            </w:r>
          </w:p>
        </w:tc>
        <w:tc>
          <w:tcPr>
            <w:tcW w:w="1173"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146" w:type="dxa"/>
            <w:tcBorders/>
            <w:shd w:fill="CFF0FC" w:val="clear"/>
            <w:vAlign w:val="center"/>
          </w:tcPr>
          <w:p>
            <w:pPr>
              <w:pStyle w:val="TableContents"/>
              <w:bidi w:val="0"/>
              <w:spacing w:before="0" w:after="283"/>
              <w:jc w:val="center"/>
              <w:rPr/>
            </w:pPr>
            <w:r>
              <w:rPr/>
              <w:t> </w:t>
            </w:r>
          </w:p>
        </w:tc>
        <w:tc>
          <w:tcPr>
            <w:tcW w:w="1210" w:type="dxa"/>
            <w:gridSpan w:val="2"/>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c>
          <w:tcPr>
            <w:tcW w:w="398"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pPr>
            <w:r>
              <w:rPr/>
              <w:t> </w:t>
            </w:r>
          </w:p>
        </w:tc>
      </w:tr>
      <w:tr>
        <w:trPr/>
        <w:tc>
          <w:tcPr>
            <w:tcW w:w="133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Balance at March 31, 2024</w:t>
            </w:r>
          </w:p>
        </w:tc>
        <w:tc>
          <w:tcPr>
            <w:tcW w:w="146" w:type="dxa"/>
            <w:tcBorders/>
            <w:shd w:fill="FFFFFF" w:val="clear"/>
            <w:vAlign w:val="center"/>
          </w:tcPr>
          <w:p>
            <w:pPr>
              <w:pStyle w:val="TableContents"/>
              <w:bidi w:val="0"/>
              <w:spacing w:before="0" w:after="283"/>
              <w:jc w:val="center"/>
              <w:rPr/>
            </w:pPr>
            <w:r>
              <w:rPr/>
              <w:t> </w:t>
            </w:r>
          </w:p>
        </w:tc>
        <w:tc>
          <w:tcPr>
            <w:tcW w:w="901"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224"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92"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7,534,798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046"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(2,460,646</w:t>
            </w:r>
          </w:p>
        </w:tc>
        <w:tc>
          <w:tcPr>
            <w:tcW w:w="166"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146" w:type="dxa"/>
            <w:tcBorders/>
            <w:shd w:fill="FFFFFF" w:val="clear"/>
            <w:vAlign w:val="center"/>
          </w:tcPr>
          <w:p>
            <w:pPr>
              <w:pStyle w:val="TableContents"/>
              <w:bidi w:val="0"/>
              <w:spacing w:before="0" w:after="283"/>
              <w:jc w:val="center"/>
              <w:rPr/>
            </w:pPr>
            <w:r>
              <w:rPr/>
              <w:t> </w:t>
            </w:r>
          </w:p>
        </w:tc>
        <w:tc>
          <w:tcPr>
            <w:tcW w:w="222"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8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5,074,152</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183" w:type="dxa"/>
            <w:tcBorders/>
            <w:shd w:fill="FFFFFF" w:val="clear"/>
            <w:vAlign w:val="center"/>
          </w:tcPr>
          <w:p>
            <w:pPr>
              <w:pStyle w:val="TableContents"/>
              <w:bidi w:val="0"/>
              <w:spacing w:before="0" w:after="283"/>
              <w:jc w:val="left"/>
              <w:rPr/>
            </w:pPr>
            <w:r>
              <w:rPr/>
              <w:t> </w:t>
            </w:r>
          </w:p>
        </w:tc>
        <w:tc>
          <w:tcPr>
            <w:tcW w:w="990"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214,278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87"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w:t>
            </w:r>
          </w:p>
        </w:tc>
        <w:tc>
          <w:tcPr>
            <w:tcW w:w="923" w:type="dxa"/>
            <w:tcBorders/>
            <w:shd w:fill="FFFFFF" w:val="clear"/>
            <w:vAlign w:val="center"/>
          </w:tcPr>
          <w:p>
            <w:pPr>
              <w:pStyle w:val="TableContents"/>
              <w:bidi w:val="0"/>
              <w:spacing w:before="0" w:after="283"/>
              <w:jc w:val="right"/>
              <w:rPr>
                <w:rFonts w:ascii="Times New Roman" w:hAnsi="Times New Roman"/>
                <w:b/>
                <w:color w:val="000000"/>
                <w:sz w:val="20"/>
              </w:rPr>
            </w:pPr>
            <w:r>
              <w:rPr>
                <w:rFonts w:ascii="Times New Roman" w:hAnsi="Times New Roman"/>
                <w:b/>
                <w:color w:val="000000"/>
                <w:sz w:val="20"/>
              </w:rPr>
              <w:t>35,164</w:t>
            </w:r>
          </w:p>
        </w:tc>
        <w:tc>
          <w:tcPr>
            <w:tcW w:w="398" w:type="dxa"/>
            <w:tcBorders/>
            <w:shd w:fill="FFFFFF" w:val="clear"/>
            <w:vAlign w:val="center"/>
          </w:tcPr>
          <w:p>
            <w:pPr>
              <w:pStyle w:val="TableContents"/>
              <w:bidi w:val="0"/>
              <w:spacing w:before="0" w:after="283"/>
              <w:jc w:val="left"/>
              <w:rPr/>
            </w:pPr>
            <w:r>
              <w:rPr/>
              <w:t> </w:t>
            </w:r>
          </w:p>
        </w:tc>
      </w:tr>
    </w:tbl>
    <w:p>
      <w:pPr>
        <w:pStyle w:val="TextBody"/>
        <w:bidi w:val="0"/>
        <w:jc w:val="left"/>
        <w:rPr/>
      </w:pPr>
      <w:r>
        <w:rPr/>
        <w:t> </w:t>
      </w:r>
    </w:p>
    <w:p>
      <w:pPr>
        <w:pStyle w:val="TextBody"/>
        <w:bidi w:val="0"/>
        <w:jc w:val="both"/>
        <w:rPr>
          <w:rFonts w:ascii="Times New Roman" w:hAnsi="Times New Roman"/>
          <w:color w:val="000000"/>
          <w:sz w:val="18"/>
        </w:rPr>
      </w:pPr>
      <w:r>
        <w:rPr>
          <w:rFonts w:ascii="Times New Roman" w:hAnsi="Times New Roman"/>
          <w:color w:val="000000"/>
          <w:sz w:val="18"/>
        </w:rPr>
        <w:t>* MicroStrategy owns and has purchased bitcoins both directly and indirectly through its wholly-owned subsidiary, MacroStrategy. References to MicroStrategy below refer to MicroStrategy and its subsidiaries on a consolidated basis.</w:t>
      </w:r>
    </w:p>
    <w:p>
      <w:pPr>
        <w:pStyle w:val="TextBody"/>
        <w:bidi w:val="0"/>
        <w:jc w:val="left"/>
        <w:rPr/>
      </w:pPr>
      <w:r>
        <w:rPr/>
        <w:t> </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(a)</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 xml:space="preserve">In the first quarter of 2023, MicroStrategy purchased bitcoin using $179.3 million of the net proceeds from its sale of class A common stock under its at-the-market equity offering program. </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(b)</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In the second quarter of 2023, MicroStrategy purchased bitcoin using $336.9 million of the net proceeds from its sale of class A common stock under its at-the-market equity offering program, and Excess Cash.</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(c)</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 xml:space="preserve">In the third quarter of 2023, MicroStrategy purchased bitcoin using $147.3 million of the net proceeds from its sale of class A common stock under its at-the-market equity offering program, and Excess Cash. </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(d)</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In the fourth quarter of 2023, MicroStrategy purchased bitcoin using $1.201 billion of the net proceeds from its sale of class A common stock under its at-the-market equity offering program, and Excess Cash.</w:t>
      </w:r>
    </w:p>
    <w:p>
      <w:pPr>
        <w:pStyle w:val="TextBody"/>
        <w:bidi w:val="0"/>
        <w:spacing w:before="0" w:after="0"/>
        <w:jc w:val="both"/>
        <w:rPr>
          <w:rFonts w:ascii="Times New Roman" w:hAnsi="Times New Roman"/>
          <w:color w:val="000000"/>
          <w:sz w:val="18"/>
        </w:rPr>
      </w:pPr>
      <w:r>
        <w:rPr>
          <w:rFonts w:ascii="Times New Roman" w:hAnsi="Times New Roman"/>
          <w:color w:val="000000"/>
          <w:sz w:val="18"/>
        </w:rPr>
        <w:t>(e)</w:t>
      </w:r>
    </w:p>
    <w:p>
      <w:pPr>
        <w:pStyle w:val="TextBody"/>
        <w:bidi w:val="0"/>
        <w:jc w:val="both"/>
        <w:rPr>
          <w:rFonts w:ascii="Times New Roman" w:hAnsi="Times New Roman"/>
          <w:color w:val="000000"/>
          <w:sz w:val="18"/>
        </w:rPr>
      </w:pPr>
      <w:r>
        <w:rPr>
          <w:rFonts w:ascii="Times New Roman" w:hAnsi="Times New Roman"/>
          <w:color w:val="000000"/>
          <w:sz w:val="18"/>
        </w:rPr>
        <w:t>In the first quarter of 2024, MicroStrategy purchased bitcoin using $782.0 million of the net proceeds from its issuance of the 2030 Convertible Notes, $592.3 million of the net proceeds from its issuance of the 2031 Convertible Notes, $137.3 million of the net proceeds from its sale of class A common stock under its at-the-market equity offering program, and Excess Cash.</w:t>
      </w:r>
    </w:p>
    <w:p>
      <w:pPr>
        <w:pStyle w:val="TextBody"/>
        <w:bidi w:val="0"/>
        <w:jc w:val="both"/>
        <w:rPr/>
      </w:pPr>
      <w:r>
        <w:rPr/>
        <w:t> </w:t>
      </w:r>
    </w:p>
    <w:p>
      <w:pPr>
        <w:pStyle w:val="TextBody"/>
        <w:bidi w:val="0"/>
        <w:jc w:val="both"/>
        <w:rPr>
          <w:rFonts w:ascii="Times New Roman" w:hAnsi="Times New Roman"/>
          <w:color w:val="000000"/>
          <w:sz w:val="20"/>
        </w:rPr>
      </w:pPr>
      <w:r>
        <w:rPr>
          <w:rFonts w:ascii="Times New Roman" w:hAnsi="Times New Roman"/>
          <w:color w:val="000000"/>
          <w:sz w:val="20"/>
        </w:rPr>
        <w:t>Excess Cash refers to cash in excess of the minimum Cash Assets that MicroStrategy is required to hold under its Treasury Reserve Policy, which may include cash generated by operating activities and cash from the proceeds of financing activities. Cash Assets refers to cash and cash equivalents and short-term investments.</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DIGITAL ASSETS – ADDITIONAL INFORMATION</w:t>
      </w:r>
    </w:p>
    <w:p>
      <w:pPr>
        <w:pStyle w:val="TextBody"/>
        <w:bidi w:val="0"/>
        <w:jc w:val="center"/>
        <w:rPr>
          <w:rFonts w:ascii="Times New Roman" w:hAnsi="Times New Roman"/>
          <w:sz w:val="20"/>
        </w:rPr>
      </w:pPr>
      <w:r>
        <w:rPr>
          <w:rFonts w:ascii="Times New Roman" w:hAnsi="Times New Roman"/>
          <w:b/>
          <w:color w:val="000000"/>
          <w:sz w:val="20"/>
        </w:rPr>
        <w:t>MARKET VALUE OF BITCOIN HOLDINGS</w:t>
      </w:r>
      <w:r>
        <w:rPr>
          <w:rFonts w:ascii="Times New Roman" w:hAnsi="Times New Roman"/>
          <w:color w:val="000000"/>
          <w:sz w:val="20"/>
        </w:rPr>
        <w:t xml:space="preserve"> </w:t>
      </w:r>
    </w:p>
    <w:p>
      <w:pPr>
        <w:pStyle w:val="TextBody"/>
        <w:bidi w:val="0"/>
        <w:jc w:val="center"/>
        <w:rPr>
          <w:rFonts w:ascii="Times New Roman" w:hAnsi="Times New Roman"/>
          <w:b/>
          <w:color w:val="000000"/>
          <w:sz w:val="20"/>
        </w:rPr>
      </w:pPr>
      <w:r>
        <w:rPr>
          <w:rFonts w:ascii="Times New Roman" w:hAnsi="Times New Roman"/>
          <w:b/>
          <w:color w:val="000000"/>
          <w:sz w:val="20"/>
        </w:rPr>
        <w:t>(unaudited)</w:t>
      </w:r>
    </w:p>
    <w:p>
      <w:pPr>
        <w:pStyle w:val="TextBody"/>
        <w:bidi w:val="0"/>
        <w:jc w:val="center"/>
        <w:rPr/>
      </w:pPr>
      <w:r>
        <w:rPr/>
        <w:t> </w:t>
      </w:r>
    </w:p>
    <w:tbl>
      <w:tblPr>
        <w:tblW w:w="11253" w:type="dxa"/>
        <w:jc w:val="left"/>
        <w:tblInd w:w="0" w:type="dxa"/>
        <w:tblLayout w:type="fixed"/>
        <w:tblCellMar>
          <w:top w:w="28" w:type="dxa"/>
          <w:left w:w="28" w:type="dxa"/>
          <w:bottom w:w="28" w:type="dxa"/>
          <w:right w:w="28" w:type="dxa"/>
        </w:tblCellMar>
      </w:tblPr>
      <w:tblGrid>
        <w:gridCol w:w="1036"/>
        <w:gridCol w:w="146"/>
        <w:gridCol w:w="167"/>
        <w:gridCol w:w="899"/>
        <w:gridCol w:w="146"/>
        <w:gridCol w:w="146"/>
        <w:gridCol w:w="211"/>
        <w:gridCol w:w="931"/>
        <w:gridCol w:w="146"/>
        <w:gridCol w:w="146"/>
        <w:gridCol w:w="211"/>
        <w:gridCol w:w="931"/>
        <w:gridCol w:w="146"/>
        <w:gridCol w:w="146"/>
        <w:gridCol w:w="211"/>
        <w:gridCol w:w="931"/>
        <w:gridCol w:w="146"/>
        <w:gridCol w:w="146"/>
        <w:gridCol w:w="211"/>
        <w:gridCol w:w="1036"/>
        <w:gridCol w:w="146"/>
        <w:gridCol w:w="146"/>
        <w:gridCol w:w="211"/>
        <w:gridCol w:w="931"/>
        <w:gridCol w:w="146"/>
        <w:gridCol w:w="146"/>
        <w:gridCol w:w="211"/>
        <w:gridCol w:w="1036"/>
        <w:gridCol w:w="191"/>
      </w:tblGrid>
      <w:tr>
        <w:trPr/>
        <w:tc>
          <w:tcPr>
            <w:tcW w:w="103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67" w:type="dxa"/>
            <w:tcBorders/>
            <w:vAlign w:val="center"/>
          </w:tcPr>
          <w:p>
            <w:pPr>
              <w:pStyle w:val="TableContents"/>
              <w:bidi w:val="0"/>
              <w:spacing w:before="0" w:after="283"/>
              <w:jc w:val="left"/>
              <w:rPr>
                <w:sz w:val="4"/>
                <w:szCs w:val="4"/>
              </w:rPr>
            </w:pPr>
            <w:r>
              <w:rPr>
                <w:sz w:val="4"/>
                <w:szCs w:val="4"/>
              </w:rPr>
            </w:r>
          </w:p>
        </w:tc>
        <w:tc>
          <w:tcPr>
            <w:tcW w:w="899"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3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3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3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103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93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1036" w:type="dxa"/>
            <w:tcBorders/>
            <w:vAlign w:val="center"/>
          </w:tcPr>
          <w:p>
            <w:pPr>
              <w:pStyle w:val="TableContents"/>
              <w:bidi w:val="0"/>
              <w:spacing w:before="0" w:after="283"/>
              <w:jc w:val="left"/>
              <w:rPr>
                <w:sz w:val="4"/>
                <w:szCs w:val="4"/>
              </w:rPr>
            </w:pPr>
            <w:r>
              <w:rPr>
                <w:sz w:val="4"/>
                <w:szCs w:val="4"/>
              </w:rPr>
            </w:r>
          </w:p>
        </w:tc>
        <w:tc>
          <w:tcPr>
            <w:tcW w:w="191" w:type="dxa"/>
            <w:tcBorders/>
            <w:vAlign w:val="center"/>
          </w:tcPr>
          <w:p>
            <w:pPr>
              <w:pStyle w:val="TableContents"/>
              <w:bidi w:val="0"/>
              <w:spacing w:before="0" w:after="283"/>
              <w:jc w:val="left"/>
              <w:rPr>
                <w:sz w:val="4"/>
                <w:szCs w:val="4"/>
              </w:rPr>
            </w:pPr>
            <w:r>
              <w:rPr>
                <w:sz w:val="4"/>
                <w:szCs w:val="4"/>
              </w:rPr>
            </w:r>
          </w:p>
        </w:tc>
      </w:tr>
      <w:tr>
        <w:trPr/>
        <w:tc>
          <w:tcPr>
            <w:tcW w:w="103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66"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Approximate Number of Bitcoins Held at End of Quarter *</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14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Lowest Market Price Per Bitcoin During Quarter (a)</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4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Market Value of Bitcoin Held at End of Quarter Using Lowest Market Price (in thousands) (b)</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4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Highest Market Price Per Bitcoin During Quarter (c)</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4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Market Value of Bitcoin Held at End of Quarter Using Highest Market Price (in thousands) (d)</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4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Market Price Per Bitcoin at End of Quarter (e)</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4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Market Value of Bitcoin Held at End of Quarter Using Ending Market Price (in thousands) (f)</w:t>
            </w:r>
          </w:p>
        </w:tc>
        <w:tc>
          <w:tcPr>
            <w:tcW w:w="1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036" w:type="dxa"/>
            <w:tcBorders/>
            <w:shd w:fill="CFF0FC"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December 31, 2022</w:t>
            </w:r>
          </w:p>
        </w:tc>
        <w:tc>
          <w:tcPr>
            <w:tcW w:w="146" w:type="dxa"/>
            <w:tcBorders/>
            <w:shd w:fill="CFF0FC" w:val="clear"/>
            <w:vAlign w:val="center"/>
          </w:tcPr>
          <w:p>
            <w:pPr>
              <w:pStyle w:val="TableContents"/>
              <w:bidi w:val="0"/>
              <w:spacing w:before="0" w:after="283"/>
              <w:jc w:val="center"/>
              <w:rPr/>
            </w:pPr>
            <w:r>
              <w:rPr/>
              <w:t> </w:t>
            </w:r>
          </w:p>
        </w:tc>
        <w:tc>
          <w:tcPr>
            <w:tcW w:w="167" w:type="dxa"/>
            <w:tcBorders/>
            <w:shd w:fill="CFF0FC" w:val="clear"/>
            <w:vAlign w:val="center"/>
          </w:tcPr>
          <w:p>
            <w:pPr>
              <w:pStyle w:val="TableContents"/>
              <w:bidi w:val="0"/>
              <w:spacing w:before="0" w:after="283"/>
              <w:jc w:val="left"/>
              <w:rPr/>
            </w:pPr>
            <w:r>
              <w:rPr/>
              <w:t> </w:t>
            </w:r>
          </w:p>
        </w:tc>
        <w:tc>
          <w:tcPr>
            <w:tcW w:w="89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132,500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15,460.00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2,048,450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21,478.80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2,845,941</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16,556.32</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2,193,712</w:t>
            </w:r>
          </w:p>
        </w:tc>
        <w:tc>
          <w:tcPr>
            <w:tcW w:w="191" w:type="dxa"/>
            <w:tcBorders/>
            <w:shd w:fill="CFF0FC" w:val="clear"/>
            <w:vAlign w:val="center"/>
          </w:tcPr>
          <w:p>
            <w:pPr>
              <w:pStyle w:val="TableContents"/>
              <w:bidi w:val="0"/>
              <w:spacing w:before="0" w:after="283"/>
              <w:jc w:val="left"/>
              <w:rPr/>
            </w:pPr>
            <w:r>
              <w:rPr/>
              <w:t> </w:t>
            </w:r>
          </w:p>
        </w:tc>
      </w:tr>
      <w:tr>
        <w:trPr/>
        <w:tc>
          <w:tcPr>
            <w:tcW w:w="1036" w:type="dxa"/>
            <w:tcBorders/>
            <w:shd w:fill="FFFFFF"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March 31, 2023</w:t>
            </w:r>
          </w:p>
        </w:tc>
        <w:tc>
          <w:tcPr>
            <w:tcW w:w="146" w:type="dxa"/>
            <w:tcBorders/>
            <w:shd w:fill="FFFFFF" w:val="clear"/>
            <w:vAlign w:val="center"/>
          </w:tcPr>
          <w:p>
            <w:pPr>
              <w:pStyle w:val="TableContents"/>
              <w:bidi w:val="0"/>
              <w:spacing w:before="0" w:after="283"/>
              <w:jc w:val="center"/>
              <w:rPr/>
            </w:pPr>
            <w:r>
              <w:rPr/>
              <w:t> </w:t>
            </w:r>
          </w:p>
        </w:tc>
        <w:tc>
          <w:tcPr>
            <w:tcW w:w="167" w:type="dxa"/>
            <w:tcBorders/>
            <w:shd w:fill="FFFFFF" w:val="clear"/>
            <w:vAlign w:val="center"/>
          </w:tcPr>
          <w:p>
            <w:pPr>
              <w:pStyle w:val="TableContents"/>
              <w:bidi w:val="0"/>
              <w:spacing w:before="0" w:after="283"/>
              <w:jc w:val="left"/>
              <w:rPr/>
            </w:pPr>
            <w:r>
              <w:rPr/>
              <w:t> </w:t>
            </w:r>
          </w:p>
        </w:tc>
        <w:tc>
          <w:tcPr>
            <w:tcW w:w="899"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140,000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16,490.00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2,308,600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29,190.04</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4,086,606</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28,468.44</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3,985,582</w:t>
            </w:r>
          </w:p>
        </w:tc>
        <w:tc>
          <w:tcPr>
            <w:tcW w:w="191" w:type="dxa"/>
            <w:tcBorders/>
            <w:shd w:fill="FFFFFF" w:val="clear"/>
            <w:vAlign w:val="center"/>
          </w:tcPr>
          <w:p>
            <w:pPr>
              <w:pStyle w:val="TableContents"/>
              <w:bidi w:val="0"/>
              <w:spacing w:before="0" w:after="283"/>
              <w:jc w:val="left"/>
              <w:rPr/>
            </w:pPr>
            <w:r>
              <w:rPr/>
              <w:t> </w:t>
            </w:r>
          </w:p>
        </w:tc>
      </w:tr>
      <w:tr>
        <w:trPr/>
        <w:tc>
          <w:tcPr>
            <w:tcW w:w="1036" w:type="dxa"/>
            <w:tcBorders/>
            <w:shd w:fill="CFF0FC"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June 30, 2023</w:t>
            </w:r>
          </w:p>
        </w:tc>
        <w:tc>
          <w:tcPr>
            <w:tcW w:w="146" w:type="dxa"/>
            <w:tcBorders/>
            <w:shd w:fill="CFF0FC" w:val="clear"/>
            <w:vAlign w:val="center"/>
          </w:tcPr>
          <w:p>
            <w:pPr>
              <w:pStyle w:val="TableContents"/>
              <w:bidi w:val="0"/>
              <w:spacing w:before="0" w:after="283"/>
              <w:jc w:val="center"/>
              <w:rPr/>
            </w:pPr>
            <w:r>
              <w:rPr/>
              <w:t> </w:t>
            </w:r>
          </w:p>
        </w:tc>
        <w:tc>
          <w:tcPr>
            <w:tcW w:w="167" w:type="dxa"/>
            <w:tcBorders/>
            <w:shd w:fill="CFF0FC" w:val="clear"/>
            <w:vAlign w:val="center"/>
          </w:tcPr>
          <w:p>
            <w:pPr>
              <w:pStyle w:val="TableContents"/>
              <w:bidi w:val="0"/>
              <w:spacing w:before="0" w:after="283"/>
              <w:jc w:val="left"/>
              <w:rPr/>
            </w:pPr>
            <w:r>
              <w:rPr/>
              <w:t> </w:t>
            </w:r>
          </w:p>
        </w:tc>
        <w:tc>
          <w:tcPr>
            <w:tcW w:w="89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152,333</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24,750.00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3,770,242</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31,443.67</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4,789,909</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30,361.51</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4,625,060</w:t>
            </w:r>
          </w:p>
        </w:tc>
        <w:tc>
          <w:tcPr>
            <w:tcW w:w="191" w:type="dxa"/>
            <w:tcBorders/>
            <w:shd w:fill="CFF0FC" w:val="clear"/>
            <w:vAlign w:val="center"/>
          </w:tcPr>
          <w:p>
            <w:pPr>
              <w:pStyle w:val="TableContents"/>
              <w:bidi w:val="0"/>
              <w:spacing w:before="0" w:after="283"/>
              <w:jc w:val="left"/>
              <w:rPr/>
            </w:pPr>
            <w:r>
              <w:rPr/>
              <w:t> </w:t>
            </w:r>
          </w:p>
        </w:tc>
      </w:tr>
      <w:tr>
        <w:trPr/>
        <w:tc>
          <w:tcPr>
            <w:tcW w:w="1036" w:type="dxa"/>
            <w:tcBorders/>
            <w:shd w:fill="FFFFFF"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September 30, 2023</w:t>
            </w:r>
          </w:p>
        </w:tc>
        <w:tc>
          <w:tcPr>
            <w:tcW w:w="146" w:type="dxa"/>
            <w:tcBorders/>
            <w:shd w:fill="FFFFFF" w:val="clear"/>
            <w:vAlign w:val="center"/>
          </w:tcPr>
          <w:p>
            <w:pPr>
              <w:pStyle w:val="TableContents"/>
              <w:bidi w:val="0"/>
              <w:spacing w:before="0" w:after="283"/>
              <w:jc w:val="center"/>
              <w:rPr/>
            </w:pPr>
            <w:r>
              <w:rPr/>
              <w:t> </w:t>
            </w:r>
          </w:p>
        </w:tc>
        <w:tc>
          <w:tcPr>
            <w:tcW w:w="167" w:type="dxa"/>
            <w:tcBorders/>
            <w:shd w:fill="FFFFFF" w:val="clear"/>
            <w:vAlign w:val="center"/>
          </w:tcPr>
          <w:p>
            <w:pPr>
              <w:pStyle w:val="TableContents"/>
              <w:bidi w:val="0"/>
              <w:spacing w:before="0" w:after="283"/>
              <w:jc w:val="left"/>
              <w:rPr/>
            </w:pPr>
            <w:r>
              <w:rPr/>
              <w:t> </w:t>
            </w:r>
          </w:p>
        </w:tc>
        <w:tc>
          <w:tcPr>
            <w:tcW w:w="899"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158,245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24,900.00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3,940,301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31,862.21</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5,042,035</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27,030.47</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4,277,437</w:t>
            </w:r>
          </w:p>
        </w:tc>
        <w:tc>
          <w:tcPr>
            <w:tcW w:w="191" w:type="dxa"/>
            <w:tcBorders/>
            <w:shd w:fill="FFFFFF" w:val="clear"/>
            <w:vAlign w:val="center"/>
          </w:tcPr>
          <w:p>
            <w:pPr>
              <w:pStyle w:val="TableContents"/>
              <w:bidi w:val="0"/>
              <w:spacing w:before="0" w:after="283"/>
              <w:jc w:val="left"/>
              <w:rPr/>
            </w:pPr>
            <w:r>
              <w:rPr/>
              <w:t> </w:t>
            </w:r>
          </w:p>
        </w:tc>
      </w:tr>
      <w:tr>
        <w:trPr/>
        <w:tc>
          <w:tcPr>
            <w:tcW w:w="1036" w:type="dxa"/>
            <w:tcBorders/>
            <w:shd w:fill="CFF0FC"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December 31, 2023</w:t>
            </w:r>
          </w:p>
        </w:tc>
        <w:tc>
          <w:tcPr>
            <w:tcW w:w="146" w:type="dxa"/>
            <w:tcBorders/>
            <w:shd w:fill="CFF0FC" w:val="clear"/>
            <w:vAlign w:val="center"/>
          </w:tcPr>
          <w:p>
            <w:pPr>
              <w:pStyle w:val="TableContents"/>
              <w:bidi w:val="0"/>
              <w:spacing w:before="0" w:after="283"/>
              <w:jc w:val="center"/>
              <w:rPr/>
            </w:pPr>
            <w:r>
              <w:rPr/>
              <w:t> </w:t>
            </w:r>
          </w:p>
        </w:tc>
        <w:tc>
          <w:tcPr>
            <w:tcW w:w="167" w:type="dxa"/>
            <w:tcBorders/>
            <w:shd w:fill="CFF0FC" w:val="clear"/>
            <w:vAlign w:val="center"/>
          </w:tcPr>
          <w:p>
            <w:pPr>
              <w:pStyle w:val="TableContents"/>
              <w:bidi w:val="0"/>
              <w:spacing w:before="0" w:after="283"/>
              <w:jc w:val="left"/>
              <w:rPr/>
            </w:pPr>
            <w:r>
              <w:rPr/>
              <w:t> </w:t>
            </w:r>
          </w:p>
        </w:tc>
        <w:tc>
          <w:tcPr>
            <w:tcW w:w="89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189,150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26,521.32</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5,016,508</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45,000.00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8,511,750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42,531.41</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center"/>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8,044,816</w:t>
            </w:r>
          </w:p>
        </w:tc>
        <w:tc>
          <w:tcPr>
            <w:tcW w:w="191" w:type="dxa"/>
            <w:tcBorders/>
            <w:shd w:fill="CFF0FC" w:val="clear"/>
            <w:vAlign w:val="center"/>
          </w:tcPr>
          <w:p>
            <w:pPr>
              <w:pStyle w:val="TableContents"/>
              <w:bidi w:val="0"/>
              <w:spacing w:before="0" w:after="283"/>
              <w:jc w:val="left"/>
              <w:rPr/>
            </w:pPr>
            <w:r>
              <w:rPr/>
              <w:t> </w:t>
            </w:r>
          </w:p>
        </w:tc>
      </w:tr>
      <w:tr>
        <w:trPr/>
        <w:tc>
          <w:tcPr>
            <w:tcW w:w="1036" w:type="dxa"/>
            <w:tcBorders/>
            <w:shd w:fill="FFFFFF" w:val="clear"/>
            <w:vAlign w:val="center"/>
          </w:tcPr>
          <w:p>
            <w:pPr>
              <w:pStyle w:val="TableContents"/>
              <w:bidi w:val="0"/>
              <w:spacing w:before="0" w:after="283"/>
              <w:jc w:val="left"/>
              <w:rPr>
                <w:color w:val="000000"/>
              </w:rPr>
            </w:pPr>
            <w:r>
              <w:rPr>
                <w:color w:val="000000"/>
              </w:rPr>
              <w:t> </w:t>
            </w:r>
            <w:r>
              <w:rPr>
                <w:rFonts w:ascii="Times New Roman" w:hAnsi="Times New Roman"/>
                <w:color w:val="000000"/>
                <w:sz w:val="20"/>
              </w:rPr>
              <w:t>March 31, 2024</w:t>
            </w:r>
          </w:p>
        </w:tc>
        <w:tc>
          <w:tcPr>
            <w:tcW w:w="146" w:type="dxa"/>
            <w:tcBorders/>
            <w:shd w:fill="FFFFFF" w:val="clear"/>
            <w:vAlign w:val="center"/>
          </w:tcPr>
          <w:p>
            <w:pPr>
              <w:pStyle w:val="TableContents"/>
              <w:bidi w:val="0"/>
              <w:spacing w:before="0" w:after="283"/>
              <w:jc w:val="center"/>
              <w:rPr/>
            </w:pPr>
            <w:r>
              <w:rPr/>
              <w:t> </w:t>
            </w:r>
          </w:p>
        </w:tc>
        <w:tc>
          <w:tcPr>
            <w:tcW w:w="167" w:type="dxa"/>
            <w:tcBorders/>
            <w:shd w:fill="FFFFFF" w:val="clear"/>
            <w:vAlign w:val="center"/>
          </w:tcPr>
          <w:p>
            <w:pPr>
              <w:pStyle w:val="TableContents"/>
              <w:bidi w:val="0"/>
              <w:spacing w:before="0" w:after="283"/>
              <w:jc w:val="left"/>
              <w:rPr/>
            </w:pPr>
            <w:r>
              <w:rPr/>
              <w:t> </w:t>
            </w:r>
          </w:p>
        </w:tc>
        <w:tc>
          <w:tcPr>
            <w:tcW w:w="899"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214,278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38,501.00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8,249,917</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73,835.57</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15,821,338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71,028.14</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center"/>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0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15,219,768</w:t>
            </w:r>
          </w:p>
        </w:tc>
        <w:tc>
          <w:tcPr>
            <w:tcW w:w="191" w:type="dxa"/>
            <w:tcBorders/>
            <w:shd w:fill="FFFFFF" w:val="clear"/>
            <w:vAlign w:val="center"/>
          </w:tcPr>
          <w:p>
            <w:pPr>
              <w:pStyle w:val="TableContents"/>
              <w:bidi w:val="0"/>
              <w:spacing w:before="0" w:after="283"/>
              <w:jc w:val="left"/>
              <w:rPr/>
            </w:pPr>
            <w:r>
              <w:rPr/>
              <w:t> </w:t>
            </w:r>
          </w:p>
        </w:tc>
      </w:tr>
    </w:tbl>
    <w:p>
      <w:pPr>
        <w:pStyle w:val="TextBody"/>
        <w:bidi w:val="0"/>
        <w:jc w:val="left"/>
        <w:rPr/>
      </w:pPr>
      <w:r>
        <w:rPr/>
        <w:t> </w:t>
      </w:r>
    </w:p>
    <w:p>
      <w:pPr>
        <w:pStyle w:val="TextBody"/>
        <w:bidi w:val="0"/>
        <w:jc w:val="both"/>
        <w:rPr>
          <w:rFonts w:ascii="Times New Roman" w:hAnsi="Times New Roman"/>
          <w:color w:val="000000"/>
          <w:sz w:val="18"/>
        </w:rPr>
      </w:pPr>
      <w:r>
        <w:rPr>
          <w:rFonts w:ascii="Times New Roman" w:hAnsi="Times New Roman"/>
          <w:color w:val="000000"/>
          <w:sz w:val="18"/>
        </w:rPr>
        <w:t>* MicroStrategy owns and has purchased bitcoins both directly and indirectly through its wholly-owned subsidiary, MacroStrategy. References to MicroStrategy below refer to MicroStrategy and its subsidiaries on a consolidated basis.</w:t>
      </w:r>
    </w:p>
    <w:p>
      <w:pPr>
        <w:pStyle w:val="TextBody"/>
        <w:bidi w:val="0"/>
        <w:jc w:val="left"/>
        <w:rPr/>
      </w:pPr>
      <w:r>
        <w:rPr/>
        <w:t> </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(a)</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"Lowest Market Price Per Bitcoin During Quarter" represents the lowest market price for one bitcoin reported on the Coinbase exchange during the respective quarter, without regard to when MicroStrategy purchased any of its bitcoin.</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(b)</w:t>
      </w:r>
    </w:p>
    <w:p>
      <w:pPr>
        <w:pStyle w:val="TextBody"/>
        <w:bidi w:val="0"/>
        <w:spacing w:before="0" w:after="200"/>
        <w:jc w:val="both"/>
        <w:rPr/>
      </w:pPr>
      <w:r>
        <w:rPr>
          <w:rFonts w:ascii="Times New Roman" w:hAnsi="Times New Roman"/>
          <w:color w:val="000000"/>
          <w:sz w:val="18"/>
        </w:rPr>
        <w:t>The "Market Value of Bitcoin Held</w:t>
      </w:r>
      <w:r>
        <w:rPr>
          <w:color w:val="000000"/>
        </w:rPr>
        <w:t xml:space="preserve"> </w:t>
      </w:r>
      <w:r>
        <w:rPr>
          <w:rFonts w:ascii="Times New Roman" w:hAnsi="Times New Roman"/>
          <w:color w:val="000000"/>
          <w:sz w:val="18"/>
        </w:rPr>
        <w:t>at End of Quarter Using Lowest Market Price" represents a mathematical calculation consisting of the lowest market price for one bitcoin reported on the Coinbase exchange during the respective quarter multiplied by the number of bitcoins held by MicroStrategy at the end of the applicable period.</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(c)</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"Highest Market Price Per Bitcoin During Quarter" represents the highest market price for one bitcoin reported on the Coinbase exchange during the respective quarter, without regard to when MicroStrategy purchased any of its bitcoin.</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(d)</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"Market Value of Bitcoin Held at End of Quarter Using Highest Market Price" represents a mathematical calculation consisting of the highest market price for one bitcoin reported on the Coinbase exchange during the respective quarter multiplied by the number of bitcoins held by MicroStrategy at the end of the applicable period.</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(e)</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"Market Price Per Bitcoin at End of Quarter" represents the market price of one bitcoin on the Coinbase exchange at 4:00 p.m. Eastern Time on the last day of the respective quarter.</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(f)</w:t>
      </w:r>
    </w:p>
    <w:p>
      <w:pPr>
        <w:pStyle w:val="TextBody"/>
        <w:bidi w:val="0"/>
        <w:spacing w:before="0" w:after="200"/>
        <w:jc w:val="both"/>
        <w:rPr>
          <w:rFonts w:ascii="Times New Roman" w:hAnsi="Times New Roman"/>
          <w:color w:val="000000"/>
          <w:sz w:val="18"/>
        </w:rPr>
      </w:pPr>
      <w:r>
        <w:rPr>
          <w:rFonts w:ascii="Times New Roman" w:hAnsi="Times New Roman"/>
          <w:color w:val="000000"/>
          <w:sz w:val="18"/>
        </w:rPr>
        <w:t>The "Market Value of Bitcoin Held at End of Quarter Using Ending Market Price" represents a mathematical calculation consisting of the market price of one bitcoin on the Coinbase exchange at 4:00 p.m. Eastern Time on the last day of the respective quarter multiplied by the number of bitcoins held by MicroStrategy at the end of the applicable period.</w:t>
      </w:r>
    </w:p>
    <w:p>
      <w:pPr>
        <w:pStyle w:val="TextBody"/>
        <w:bidi w:val="0"/>
        <w:jc w:val="both"/>
        <w:rPr/>
      </w:pPr>
      <w:r>
        <w:rPr/>
        <w:t> </w:t>
      </w:r>
    </w:p>
    <w:p>
      <w:pPr>
        <w:pStyle w:val="TextBody"/>
        <w:bidi w:val="0"/>
        <w:jc w:val="both"/>
        <w:rPr>
          <w:rFonts w:ascii="Times New Roman" w:hAnsi="Times New Roman"/>
          <w:color w:val="000000"/>
          <w:sz w:val="20"/>
        </w:rPr>
      </w:pPr>
      <w:r>
        <w:rPr>
          <w:rFonts w:ascii="Times New Roman" w:hAnsi="Times New Roman"/>
          <w:color w:val="000000"/>
          <w:sz w:val="20"/>
        </w:rPr>
        <w:t>The amounts reported as “Market Value” in the above table represent only a mathematical calculation consisting of the price for one bitcoin reported on the Coinbase exchange (MicroStrategy’s principal market for bitcoin) in each scenario defined above multiplied by the number of bitcoins held by MicroStrategy at the end of the applicable period. Bitcoin and bitcoin markets may be subject to manipulation and the spot price of bitcoin may be subject to fraud and manipulation. Accordingly, the Market Value amounts reported above may not accurately represent fair market value, and the actual fair market value of MicroStrategy’s bitcoin may be different from such amounts and such deviation may be material. Moreover, (i) the bitcoin market historically has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that are, or may be, inherent in its entirely electronic, virtual form and decentralized network and (ii) MicroStrategy may not be able to sell its bitcoins at the Market Value amounts indicated above, at the market price as reported on the Coinbase exchange (its principal market) on the date of sale, or at all.</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RECONCILIATION OF GAAP TO NON-GAAP MEASURES</w:t>
      </w:r>
    </w:p>
    <w:p>
      <w:pPr>
        <w:pStyle w:val="TextBody"/>
        <w:bidi w:val="0"/>
        <w:jc w:val="center"/>
        <w:rPr>
          <w:rFonts w:ascii="Times New Roman" w:hAnsi="Times New Roman"/>
          <w:b/>
          <w:color w:val="000000"/>
          <w:sz w:val="20"/>
        </w:rPr>
      </w:pPr>
      <w:r>
        <w:rPr>
          <w:rFonts w:ascii="Times New Roman" w:hAnsi="Times New Roman"/>
          <w:b/>
          <w:color w:val="000000"/>
          <w:sz w:val="20"/>
        </w:rPr>
        <w:t>LOSS FROM OPERATIONS</w:t>
      </w:r>
    </w:p>
    <w:p>
      <w:pPr>
        <w:pStyle w:val="TextBody"/>
        <w:bidi w:val="0"/>
        <w:jc w:val="center"/>
        <w:rPr>
          <w:rFonts w:ascii="Times New Roman" w:hAnsi="Times New Roman"/>
          <w:b/>
          <w:color w:val="000000"/>
          <w:sz w:val="20"/>
        </w:rPr>
      </w:pPr>
      <w:r>
        <w:rPr>
          <w:rFonts w:ascii="Times New Roman" w:hAnsi="Times New Roman"/>
          <w:b/>
          <w:color w:val="000000"/>
          <w:sz w:val="20"/>
        </w:rPr>
        <w:t>(in thousands)</w:t>
      </w:r>
    </w:p>
    <w:p>
      <w:pPr>
        <w:pStyle w:val="TextBody"/>
        <w:bidi w:val="0"/>
        <w:jc w:val="center"/>
        <w:rPr/>
      </w:pPr>
      <w:r>
        <w:rPr/>
        <w:t> </w:t>
      </w:r>
    </w:p>
    <w:tbl>
      <w:tblPr>
        <w:tblW w:w="7399" w:type="dxa"/>
        <w:jc w:val="left"/>
        <w:tblInd w:w="0" w:type="dxa"/>
        <w:tblLayout w:type="fixed"/>
        <w:tblCellMar>
          <w:top w:w="28" w:type="dxa"/>
          <w:left w:w="28" w:type="dxa"/>
          <w:bottom w:w="28" w:type="dxa"/>
          <w:right w:w="28" w:type="dxa"/>
        </w:tblCellMar>
      </w:tblPr>
      <w:tblGrid>
        <w:gridCol w:w="4351"/>
        <w:gridCol w:w="146"/>
        <w:gridCol w:w="211"/>
        <w:gridCol w:w="841"/>
        <w:gridCol w:w="166"/>
        <w:gridCol w:w="146"/>
        <w:gridCol w:w="211"/>
        <w:gridCol w:w="736"/>
        <w:gridCol w:w="591"/>
      </w:tblGrid>
      <w:tr>
        <w:trPr/>
        <w:tc>
          <w:tcPr>
            <w:tcW w:w="435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36" w:type="dxa"/>
            <w:tcBorders/>
            <w:vAlign w:val="center"/>
          </w:tcPr>
          <w:p>
            <w:pPr>
              <w:pStyle w:val="TableContents"/>
              <w:bidi w:val="0"/>
              <w:spacing w:before="0" w:after="283"/>
              <w:jc w:val="left"/>
              <w:rPr>
                <w:sz w:val="4"/>
                <w:szCs w:val="4"/>
              </w:rPr>
            </w:pPr>
            <w:r>
              <w:rPr>
                <w:sz w:val="4"/>
                <w:szCs w:val="4"/>
              </w:rPr>
            </w:r>
          </w:p>
        </w:tc>
        <w:tc>
          <w:tcPr>
            <w:tcW w:w="591" w:type="dxa"/>
            <w:tcBorders/>
            <w:vAlign w:val="center"/>
          </w:tcPr>
          <w:p>
            <w:pPr>
              <w:pStyle w:val="TableContents"/>
              <w:bidi w:val="0"/>
              <w:spacing w:before="0" w:after="283"/>
              <w:jc w:val="left"/>
              <w:rPr>
                <w:sz w:val="4"/>
                <w:szCs w:val="4"/>
              </w:rPr>
            </w:pPr>
            <w:r>
              <w:rPr>
                <w:sz w:val="4"/>
                <w:szCs w:val="4"/>
              </w:rPr>
            </w:r>
          </w:p>
        </w:tc>
      </w:tr>
      <w:tr>
        <w:trPr/>
        <w:tc>
          <w:tcPr>
            <w:tcW w:w="435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11"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591" w:type="dxa"/>
            <w:tcBorders/>
            <w:shd w:fill="FFFFFF" w:val="clear"/>
            <w:vAlign w:val="center"/>
          </w:tcPr>
          <w:p>
            <w:pPr>
              <w:pStyle w:val="TableContents"/>
              <w:bidi w:val="0"/>
              <w:spacing w:before="0" w:after="283"/>
              <w:jc w:val="center"/>
              <w:rPr/>
            </w:pPr>
            <w:r>
              <w:rPr/>
              <w:t> </w:t>
            </w:r>
          </w:p>
        </w:tc>
      </w:tr>
      <w:tr>
        <w:trPr/>
        <w:tc>
          <w:tcPr>
            <w:tcW w:w="435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11"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March 31,</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35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4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435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47"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591" w:type="dxa"/>
            <w:tcBorders/>
            <w:shd w:fill="FFFFFF" w:val="clear"/>
            <w:vAlign w:val="center"/>
          </w:tcPr>
          <w:p>
            <w:pPr>
              <w:pStyle w:val="TableContents"/>
              <w:bidi w:val="0"/>
              <w:spacing w:before="0" w:after="283"/>
              <w:jc w:val="center"/>
              <w:rPr/>
            </w:pPr>
            <w:r>
              <w:rPr/>
              <w:t> </w:t>
            </w:r>
          </w:p>
        </w:tc>
      </w:tr>
      <w:tr>
        <w:trPr/>
        <w:tc>
          <w:tcPr>
            <w:tcW w:w="4351"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Reconciliation of non-GAAP loss from operations:</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47" w:type="dxa"/>
            <w:gridSpan w:val="2"/>
            <w:tcBorders/>
            <w:shd w:fill="CFF0FC" w:val="clear"/>
            <w:vAlign w:val="center"/>
          </w:tcPr>
          <w:p>
            <w:pPr>
              <w:pStyle w:val="TableContents"/>
              <w:bidi w:val="0"/>
              <w:spacing w:before="0" w:after="283"/>
              <w:jc w:val="left"/>
              <w:rPr/>
            </w:pPr>
            <w:r>
              <w:rPr/>
              <w:t> </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4351"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Loss from operations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(203,702</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36"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(20,307</w:t>
            </w:r>
          </w:p>
        </w:tc>
        <w:tc>
          <w:tcPr>
            <w:tcW w:w="59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4351"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Share-based compensation expense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17,791</w:t>
            </w:r>
          </w:p>
        </w:tc>
        <w:tc>
          <w:tcPr>
            <w:tcW w:w="16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3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17,555</w:t>
            </w:r>
          </w:p>
        </w:tc>
        <w:tc>
          <w:tcPr>
            <w:tcW w:w="5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4351" w:type="dxa"/>
            <w:tcBorders/>
            <w:shd w:fill="FFFFFF"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Non-GAAP loss from operations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(185,911</w:t>
            </w:r>
          </w:p>
        </w:tc>
        <w:tc>
          <w:tcPr>
            <w:tcW w:w="16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3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(2,752</w:t>
            </w:r>
          </w:p>
        </w:tc>
        <w:tc>
          <w:tcPr>
            <w:tcW w:w="5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bl>
    <w:p>
      <w:pPr>
        <w:pStyle w:val="TextBody"/>
        <w:bidi w:val="0"/>
        <w:jc w:val="left"/>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RECONCILIATION OF GAAP TO NON-GAAP MEASURES</w:t>
      </w:r>
    </w:p>
    <w:p>
      <w:pPr>
        <w:pStyle w:val="TextBody"/>
        <w:bidi w:val="0"/>
        <w:jc w:val="center"/>
        <w:rPr>
          <w:rFonts w:ascii="Times New Roman" w:hAnsi="Times New Roman"/>
          <w:b/>
          <w:color w:val="000000"/>
          <w:sz w:val="20"/>
        </w:rPr>
      </w:pPr>
      <w:r>
        <w:rPr>
          <w:rFonts w:ascii="Times New Roman" w:hAnsi="Times New Roman"/>
          <w:b/>
          <w:color w:val="000000"/>
          <w:sz w:val="20"/>
        </w:rPr>
        <w:t>NET (LOSS) INCOME AND DILUTED (LOSS) EARNINGS PER SHARE</w:t>
      </w:r>
    </w:p>
    <w:p>
      <w:pPr>
        <w:pStyle w:val="TextBody"/>
        <w:bidi w:val="0"/>
        <w:jc w:val="center"/>
        <w:rPr>
          <w:rFonts w:ascii="Times New Roman" w:hAnsi="Times New Roman"/>
          <w:b/>
          <w:color w:val="000000"/>
          <w:sz w:val="20"/>
        </w:rPr>
      </w:pPr>
      <w:r>
        <w:rPr>
          <w:rFonts w:ascii="Times New Roman" w:hAnsi="Times New Roman"/>
          <w:b/>
          <w:color w:val="000000"/>
          <w:sz w:val="20"/>
        </w:rPr>
        <w:t>(in thousands, except per share data)</w:t>
      </w:r>
    </w:p>
    <w:p>
      <w:pPr>
        <w:pStyle w:val="TextBody"/>
        <w:bidi w:val="0"/>
        <w:jc w:val="center"/>
        <w:rPr/>
      </w:pPr>
      <w:r>
        <w:rPr/>
        <w:t> </w:t>
      </w:r>
    </w:p>
    <w:tbl>
      <w:tblPr>
        <w:tblW w:w="10205" w:type="dxa"/>
        <w:jc w:val="left"/>
        <w:tblInd w:w="0" w:type="dxa"/>
        <w:tblLayout w:type="fixed"/>
        <w:tblCellMar>
          <w:top w:w="28" w:type="dxa"/>
          <w:left w:w="28" w:type="dxa"/>
          <w:bottom w:w="28" w:type="dxa"/>
          <w:right w:w="28" w:type="dxa"/>
        </w:tblCellMar>
      </w:tblPr>
      <w:tblGrid>
        <w:gridCol w:w="7112"/>
        <w:gridCol w:w="146"/>
        <w:gridCol w:w="211"/>
        <w:gridCol w:w="841"/>
        <w:gridCol w:w="166"/>
        <w:gridCol w:w="146"/>
        <w:gridCol w:w="211"/>
        <w:gridCol w:w="781"/>
        <w:gridCol w:w="591"/>
      </w:tblGrid>
      <w:tr>
        <w:trPr/>
        <w:tc>
          <w:tcPr>
            <w:tcW w:w="7112"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841"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591" w:type="dxa"/>
            <w:tcBorders/>
            <w:vAlign w:val="center"/>
          </w:tcPr>
          <w:p>
            <w:pPr>
              <w:pStyle w:val="TableContents"/>
              <w:bidi w:val="0"/>
              <w:spacing w:before="0" w:after="283"/>
              <w:jc w:val="left"/>
              <w:rPr>
                <w:sz w:val="4"/>
                <w:szCs w:val="4"/>
              </w:rPr>
            </w:pPr>
            <w:r>
              <w:rPr>
                <w:sz w:val="4"/>
                <w:szCs w:val="4"/>
              </w:rPr>
            </w:r>
          </w:p>
        </w:tc>
      </w:tr>
      <w:tr>
        <w:trPr/>
        <w:tc>
          <w:tcPr>
            <w:tcW w:w="711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56" w:type="dxa"/>
            <w:gridSpan w:val="6"/>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591" w:type="dxa"/>
            <w:tcBorders/>
            <w:shd w:fill="FFFFFF" w:val="clear"/>
            <w:vAlign w:val="center"/>
          </w:tcPr>
          <w:p>
            <w:pPr>
              <w:pStyle w:val="TableContents"/>
              <w:bidi w:val="0"/>
              <w:spacing w:before="0" w:after="283"/>
              <w:jc w:val="center"/>
              <w:rPr/>
            </w:pPr>
            <w:r>
              <w:rPr/>
              <w:t> </w:t>
            </w:r>
          </w:p>
        </w:tc>
      </w:tr>
      <w:tr>
        <w:trPr/>
        <w:tc>
          <w:tcPr>
            <w:tcW w:w="711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56" w:type="dxa"/>
            <w:gridSpan w:val="6"/>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March 31,</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711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7112"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16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color w:val="000000"/>
                <w:sz w:val="16"/>
              </w:rPr>
            </w:pPr>
            <w:r>
              <w:rPr>
                <w:rFonts w:ascii="Times New Roman" w:hAnsi="Times New Roman"/>
                <w:color w:val="000000"/>
                <w:sz w:val="16"/>
              </w:rPr>
              <w:t>(unaudited)</w:t>
            </w:r>
          </w:p>
        </w:tc>
        <w:tc>
          <w:tcPr>
            <w:tcW w:w="591" w:type="dxa"/>
            <w:tcBorders/>
            <w:shd w:fill="FFFFFF" w:val="clear"/>
            <w:vAlign w:val="center"/>
          </w:tcPr>
          <w:p>
            <w:pPr>
              <w:pStyle w:val="TableContents"/>
              <w:bidi w:val="0"/>
              <w:spacing w:before="0" w:after="283"/>
              <w:jc w:val="center"/>
              <w:rPr/>
            </w:pPr>
            <w:r>
              <w:rPr/>
              <w:t> </w:t>
            </w:r>
          </w:p>
        </w:tc>
      </w:tr>
      <w:tr>
        <w:trPr/>
        <w:tc>
          <w:tcPr>
            <w:tcW w:w="711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Reconciliation of non-GAAP net (loss) income:</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11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Net (loss) income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(53,118</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461,193</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11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Share-based compensation expense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17,791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17,555</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11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Interest expense arising from amortization of debt issuance costs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2,557</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2,210</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11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Gain on debt extinguishment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(44,686</w:t>
            </w:r>
          </w:p>
        </w:tc>
        <w:tc>
          <w:tcPr>
            <w:tcW w:w="591"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711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Income tax effects (1)</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(109,238</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8,766</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7112" w:type="dxa"/>
            <w:tcBorders/>
            <w:shd w:fill="CFF0FC"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Non-GAAP net (loss) income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(142,008</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445,038</w:t>
            </w:r>
          </w:p>
        </w:tc>
        <w:tc>
          <w:tcPr>
            <w:tcW w:w="591" w:type="dxa"/>
            <w:tcBorders>
              <w:bottom w:val="double" w:sz="6" w:space="0" w:color="000000"/>
            </w:tcBorders>
            <w:shd w:fill="CFF0FC" w:val="clear"/>
            <w:tcMar>
              <w:top w:w="0" w:type="dxa"/>
              <w:left w:w="0" w:type="dxa"/>
              <w:right w:w="0" w:type="dxa"/>
            </w:tcMar>
            <w:vAlign w:val="center"/>
          </w:tcPr>
          <w:p>
            <w:pPr>
              <w:pStyle w:val="TableContents"/>
              <w:bidi w:val="0"/>
              <w:spacing w:before="0" w:after="283"/>
              <w:ind w:left="0" w:right="0" w:firstLine="200"/>
              <w:jc w:val="left"/>
              <w:rPr/>
            </w:pPr>
            <w:r>
              <w:rPr/>
              <w:t> </w:t>
            </w:r>
          </w:p>
        </w:tc>
      </w:tr>
      <w:tr>
        <w:trPr/>
        <w:tc>
          <w:tcPr>
            <w:tcW w:w="7112" w:type="dxa"/>
            <w:tcBorders/>
            <w:shd w:fill="FFFFFF" w:val="clear"/>
            <w:vAlign w:val="center"/>
          </w:tcPr>
          <w:p>
            <w:pPr>
              <w:pStyle w:val="TableContents"/>
              <w:bidi w:val="0"/>
              <w:spacing w:before="0" w:after="283"/>
              <w:ind w:left="200" w:right="0" w:firstLine="200"/>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52"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591" w:type="dxa"/>
            <w:tcBorders/>
            <w:shd w:fill="FFFFFF" w:val="clear"/>
            <w:vAlign w:val="center"/>
          </w:tcPr>
          <w:p>
            <w:pPr>
              <w:pStyle w:val="TableContents"/>
              <w:bidi w:val="0"/>
              <w:spacing w:before="0" w:after="283"/>
              <w:jc w:val="left"/>
              <w:rPr/>
            </w:pPr>
            <w:r>
              <w:rPr/>
              <w:t> </w:t>
            </w:r>
          </w:p>
        </w:tc>
      </w:tr>
      <w:tr>
        <w:trPr/>
        <w:tc>
          <w:tcPr>
            <w:tcW w:w="7112"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Reconciliation of non-GAAP diluted (loss) earnings per share (2):</w:t>
            </w:r>
          </w:p>
        </w:tc>
        <w:tc>
          <w:tcPr>
            <w:tcW w:w="146" w:type="dxa"/>
            <w:tcBorders/>
            <w:shd w:fill="CFF0FC" w:val="clear"/>
            <w:vAlign w:val="center"/>
          </w:tcPr>
          <w:p>
            <w:pPr>
              <w:pStyle w:val="TableContents"/>
              <w:bidi w:val="0"/>
              <w:spacing w:before="0" w:after="283"/>
              <w:jc w:val="left"/>
              <w:rPr/>
            </w:pPr>
            <w:r>
              <w:rPr/>
              <w:t> </w:t>
            </w:r>
          </w:p>
        </w:tc>
        <w:tc>
          <w:tcPr>
            <w:tcW w:w="1052"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11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Diluted (loss) earnings per share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31.79</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11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Share-based compensation expense (per diluted share)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1.03</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1.20</w:t>
            </w:r>
          </w:p>
        </w:tc>
        <w:tc>
          <w:tcPr>
            <w:tcW w:w="591" w:type="dxa"/>
            <w:tcBorders/>
            <w:shd w:fill="CFF0FC" w:val="clear"/>
            <w:vAlign w:val="center"/>
          </w:tcPr>
          <w:p>
            <w:pPr>
              <w:pStyle w:val="TableContents"/>
              <w:bidi w:val="0"/>
              <w:spacing w:before="0" w:after="283"/>
              <w:ind w:left="0" w:right="0" w:firstLine="200"/>
              <w:jc w:val="left"/>
              <w:rPr/>
            </w:pPr>
            <w:r>
              <w:rPr/>
              <w:t> </w:t>
            </w:r>
          </w:p>
        </w:tc>
      </w:tr>
      <w:tr>
        <w:trPr/>
        <w:tc>
          <w:tcPr>
            <w:tcW w:w="711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Interest expense arising from amortization of debt issuance costs (per diluted share) (3)</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84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0.15</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0.03</w:t>
            </w:r>
          </w:p>
        </w:tc>
        <w:tc>
          <w:tcPr>
            <w:tcW w:w="591" w:type="dxa"/>
            <w:tcBorders/>
            <w:shd w:fill="FFFFFF" w:val="clear"/>
            <w:vAlign w:val="center"/>
          </w:tcPr>
          <w:p>
            <w:pPr>
              <w:pStyle w:val="TableContents"/>
              <w:bidi w:val="0"/>
              <w:spacing w:before="0" w:after="283"/>
              <w:ind w:left="0" w:right="0" w:firstLine="200"/>
              <w:jc w:val="left"/>
              <w:rPr/>
            </w:pPr>
            <w:r>
              <w:rPr/>
              <w:t> </w:t>
            </w:r>
          </w:p>
        </w:tc>
      </w:tr>
      <w:tr>
        <w:trPr/>
        <w:tc>
          <w:tcPr>
            <w:tcW w:w="7112"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Gain on debt extinguishment (per diluted share)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84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0.00</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(3.07</w:t>
            </w:r>
          </w:p>
        </w:tc>
        <w:tc>
          <w:tcPr>
            <w:tcW w:w="591"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7112"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Income tax effects (per diluted share) (3)</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(6.35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0.64</w:t>
            </w:r>
          </w:p>
        </w:tc>
        <w:tc>
          <w:tcPr>
            <w:tcW w:w="5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400"/>
              <w:jc w:val="left"/>
              <w:rPr/>
            </w:pPr>
            <w:r>
              <w:rPr/>
              <w:t> </w:t>
            </w:r>
          </w:p>
        </w:tc>
      </w:tr>
      <w:tr>
        <w:trPr/>
        <w:tc>
          <w:tcPr>
            <w:tcW w:w="7112" w:type="dxa"/>
            <w:tcBorders/>
            <w:shd w:fill="CFF0FC" w:val="clear"/>
            <w:vAlign w:val="center"/>
          </w:tcPr>
          <w:p>
            <w:pPr>
              <w:pStyle w:val="TableContents"/>
              <w:bidi w:val="0"/>
              <w:spacing w:before="0" w:after="283"/>
              <w:ind w:left="400" w:right="0" w:firstLine="400"/>
              <w:jc w:val="left"/>
              <w:rPr>
                <w:rFonts w:ascii="Times New Roman" w:hAnsi="Times New Roman"/>
                <w:color w:val="000000"/>
                <w:sz w:val="20"/>
              </w:rPr>
            </w:pPr>
            <w:r>
              <w:rPr>
                <w:rFonts w:ascii="Times New Roman" w:hAnsi="Times New Roman"/>
                <w:color w:val="000000"/>
                <w:sz w:val="20"/>
              </w:rPr>
              <w:t>Non-GAAP diluted (loss) earnings per share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4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(8.26</w:t>
            </w:r>
          </w:p>
        </w:tc>
        <w:tc>
          <w:tcPr>
            <w:tcW w:w="16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30.59</w:t>
            </w:r>
          </w:p>
        </w:tc>
        <w:tc>
          <w:tcPr>
            <w:tcW w:w="5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both"/>
        <w:rPr/>
      </w:pPr>
      <w:r>
        <w:rPr/>
        <w:t> </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(1)</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Income tax effects reflect the net tax effects of share-based compensation, which includes tax benefits and expenses on exercises of stock options and vesting of share-settled restricted stock units, interest expense for amortization of debt issuance costs, and gain on debt extinguishment.</w:t>
      </w:r>
    </w:p>
    <w:p>
      <w:pPr>
        <w:pStyle w:val="TextBody"/>
        <w:bidi w:val="0"/>
        <w:spacing w:before="200" w:after="283"/>
        <w:jc w:val="both"/>
        <w:rPr>
          <w:rFonts w:ascii="Times New Roman" w:hAnsi="Times New Roman"/>
          <w:color w:val="000000"/>
          <w:sz w:val="20"/>
        </w:rPr>
      </w:pPr>
      <w:r>
        <w:rPr>
          <w:rFonts w:ascii="Times New Roman" w:hAnsi="Times New Roman"/>
          <w:color w:val="000000"/>
          <w:sz w:val="20"/>
        </w:rPr>
        <w:t>(2)</w:t>
      </w:r>
    </w:p>
    <w:p>
      <w:pPr>
        <w:pStyle w:val="TextBody"/>
        <w:bidi w:val="0"/>
        <w:spacing w:before="200" w:after="283"/>
        <w:jc w:val="both"/>
        <w:rPr>
          <w:rFonts w:ascii="Times New Roman" w:hAnsi="Times New Roman"/>
          <w:color w:val="000000"/>
          <w:sz w:val="20"/>
        </w:rPr>
      </w:pPr>
      <w:r>
        <w:rPr>
          <w:rFonts w:ascii="Times New Roman" w:hAnsi="Times New Roman"/>
          <w:color w:val="000000"/>
          <w:sz w:val="20"/>
        </w:rPr>
        <w:t>For reconciliation purposes, the non-GAAP diluted earnings (loss) per share calculations use the same weighted average shares outstanding as that used in the GAAP diluted earnings (loss) per share calculations for the same period. For example, in periods of GAAP net loss, otherwise dilutive potential shares of common stock from MicroStrategy’s share-based compensation arrangements and convertible notes are excluded from the GAAP diluted loss per share calculation as they would be antidilutive, and therefore are also excluded from the non-GAAP diluted earnings or loss per share calculation.</w:t>
      </w:r>
    </w:p>
    <w:p>
      <w:pPr>
        <w:pStyle w:val="TextBody"/>
        <w:bidi w:val="0"/>
        <w:spacing w:before="200" w:after="283"/>
        <w:jc w:val="both"/>
        <w:rPr>
          <w:rFonts w:ascii="Times New Roman" w:hAnsi="Times New Roman"/>
          <w:color w:val="000000"/>
          <w:sz w:val="20"/>
        </w:rPr>
      </w:pPr>
      <w:r>
        <w:rPr>
          <w:rFonts w:ascii="Times New Roman" w:hAnsi="Times New Roman"/>
          <w:color w:val="000000"/>
          <w:sz w:val="20"/>
        </w:rPr>
        <w:t>(3)</w:t>
      </w:r>
    </w:p>
    <w:p>
      <w:pPr>
        <w:pStyle w:val="TextBody"/>
        <w:bidi w:val="0"/>
        <w:spacing w:before="200" w:after="283"/>
        <w:jc w:val="both"/>
        <w:rPr>
          <w:rFonts w:ascii="Times New Roman" w:hAnsi="Times New Roman"/>
          <w:color w:val="000000"/>
          <w:sz w:val="20"/>
        </w:rPr>
      </w:pPr>
      <w:r>
        <w:rPr>
          <w:rFonts w:ascii="Times New Roman" w:hAnsi="Times New Roman"/>
          <w:color w:val="000000"/>
          <w:sz w:val="20"/>
        </w:rPr>
        <w:t>For the three months ended March 31, 2023, interest expense from the amortization of issuance costs of the convertible notes has been added back to the numerator in the GAAP diluted earnings per share calculation, and therefore the per diluted share effects of the amortization of issuance costs of the convertible notes have been excluded from the “Interest expense arising from amortization of debt issuance costs (per diluted share)” and “Income tax effects (per diluted share)” lines in the above reconciliation for the three months ended March 31, 2023.</w:t>
      </w:r>
    </w:p>
    <w:p>
      <w:pPr>
        <w:pStyle w:val="TextBody"/>
        <w:bidi w:val="0"/>
        <w:jc w:val="both"/>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RECONCILIATION OF GAAP TO NON-GAAP MEASURES</w:t>
      </w:r>
    </w:p>
    <w:p>
      <w:pPr>
        <w:pStyle w:val="TextBody"/>
        <w:bidi w:val="0"/>
        <w:jc w:val="center"/>
        <w:rPr>
          <w:rFonts w:ascii="Times New Roman" w:hAnsi="Times New Roman"/>
          <w:b/>
          <w:color w:val="000000"/>
          <w:sz w:val="20"/>
        </w:rPr>
      </w:pPr>
      <w:r>
        <w:rPr>
          <w:rFonts w:ascii="Times New Roman" w:hAnsi="Times New Roman"/>
          <w:b/>
          <w:color w:val="000000"/>
          <w:sz w:val="20"/>
        </w:rPr>
        <w:t>CONSTANT CURRENCY</w:t>
      </w:r>
    </w:p>
    <w:p>
      <w:pPr>
        <w:pStyle w:val="TextBody"/>
        <w:bidi w:val="0"/>
        <w:jc w:val="center"/>
        <w:rPr>
          <w:rFonts w:ascii="Times New Roman" w:hAnsi="Times New Roman"/>
          <w:b/>
          <w:color w:val="000000"/>
          <w:sz w:val="20"/>
        </w:rPr>
      </w:pPr>
      <w:r>
        <w:rPr>
          <w:rFonts w:ascii="Times New Roman" w:hAnsi="Times New Roman"/>
          <w:b/>
          <w:color w:val="000000"/>
          <w:sz w:val="20"/>
        </w:rPr>
        <w:t>(in thousands)</w:t>
      </w:r>
    </w:p>
    <w:p>
      <w:pPr>
        <w:pStyle w:val="TextBody"/>
        <w:bidi w:val="0"/>
        <w:jc w:val="center"/>
        <w:rPr/>
      </w:pPr>
      <w:r>
        <w:rPr/>
        <w:t> </w:t>
      </w:r>
    </w:p>
    <w:tbl>
      <w:tblPr>
        <w:tblW w:w="10205" w:type="dxa"/>
        <w:jc w:val="left"/>
        <w:tblInd w:w="0" w:type="dxa"/>
        <w:tblLayout w:type="fixed"/>
        <w:tblCellMar>
          <w:top w:w="28" w:type="dxa"/>
          <w:left w:w="28" w:type="dxa"/>
          <w:bottom w:w="28" w:type="dxa"/>
          <w:right w:w="28" w:type="dxa"/>
        </w:tblCellMar>
      </w:tblPr>
      <w:tblGrid>
        <w:gridCol w:w="1735"/>
        <w:gridCol w:w="146"/>
        <w:gridCol w:w="211"/>
        <w:gridCol w:w="781"/>
        <w:gridCol w:w="146"/>
        <w:gridCol w:w="146"/>
        <w:gridCol w:w="288"/>
        <w:gridCol w:w="577"/>
        <w:gridCol w:w="166"/>
        <w:gridCol w:w="146"/>
        <w:gridCol w:w="260"/>
        <w:gridCol w:w="965"/>
        <w:gridCol w:w="146"/>
        <w:gridCol w:w="146"/>
        <w:gridCol w:w="211"/>
        <w:gridCol w:w="781"/>
        <w:gridCol w:w="146"/>
        <w:gridCol w:w="146"/>
        <w:gridCol w:w="205"/>
        <w:gridCol w:w="740"/>
        <w:gridCol w:w="271"/>
        <w:gridCol w:w="146"/>
        <w:gridCol w:w="255"/>
        <w:gridCol w:w="924"/>
        <w:gridCol w:w="521"/>
      </w:tblGrid>
      <w:tr>
        <w:trPr/>
        <w:tc>
          <w:tcPr>
            <w:tcW w:w="1735"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88" w:type="dxa"/>
            <w:tcBorders/>
            <w:vAlign w:val="center"/>
          </w:tcPr>
          <w:p>
            <w:pPr>
              <w:pStyle w:val="TableContents"/>
              <w:bidi w:val="0"/>
              <w:spacing w:before="0" w:after="283"/>
              <w:jc w:val="left"/>
              <w:rPr>
                <w:sz w:val="4"/>
                <w:szCs w:val="4"/>
              </w:rPr>
            </w:pPr>
            <w:r>
              <w:rPr>
                <w:sz w:val="4"/>
                <w:szCs w:val="4"/>
              </w:rPr>
            </w:r>
          </w:p>
        </w:tc>
        <w:tc>
          <w:tcPr>
            <w:tcW w:w="577"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60" w:type="dxa"/>
            <w:tcBorders/>
            <w:vAlign w:val="center"/>
          </w:tcPr>
          <w:p>
            <w:pPr>
              <w:pStyle w:val="TableContents"/>
              <w:bidi w:val="0"/>
              <w:spacing w:before="0" w:after="283"/>
              <w:jc w:val="left"/>
              <w:rPr>
                <w:sz w:val="4"/>
                <w:szCs w:val="4"/>
              </w:rPr>
            </w:pPr>
            <w:r>
              <w:rPr>
                <w:sz w:val="4"/>
                <w:szCs w:val="4"/>
              </w:rPr>
            </w:r>
          </w:p>
        </w:tc>
        <w:tc>
          <w:tcPr>
            <w:tcW w:w="965"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05" w:type="dxa"/>
            <w:tcBorders/>
            <w:vAlign w:val="center"/>
          </w:tcPr>
          <w:p>
            <w:pPr>
              <w:pStyle w:val="TableContents"/>
              <w:bidi w:val="0"/>
              <w:spacing w:before="0" w:after="283"/>
              <w:jc w:val="left"/>
              <w:rPr>
                <w:sz w:val="4"/>
                <w:szCs w:val="4"/>
              </w:rPr>
            </w:pPr>
            <w:r>
              <w:rPr>
                <w:sz w:val="4"/>
                <w:szCs w:val="4"/>
              </w:rPr>
            </w:r>
          </w:p>
        </w:tc>
        <w:tc>
          <w:tcPr>
            <w:tcW w:w="740" w:type="dxa"/>
            <w:tcBorders/>
            <w:vAlign w:val="center"/>
          </w:tcPr>
          <w:p>
            <w:pPr>
              <w:pStyle w:val="TableContents"/>
              <w:bidi w:val="0"/>
              <w:spacing w:before="0" w:after="283"/>
              <w:jc w:val="left"/>
              <w:rPr>
                <w:sz w:val="4"/>
                <w:szCs w:val="4"/>
              </w:rPr>
            </w:pPr>
            <w:r>
              <w:rPr>
                <w:sz w:val="4"/>
                <w:szCs w:val="4"/>
              </w:rPr>
            </w:r>
          </w:p>
        </w:tc>
        <w:tc>
          <w:tcPr>
            <w:tcW w:w="27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55" w:type="dxa"/>
            <w:tcBorders/>
            <w:vAlign w:val="center"/>
          </w:tcPr>
          <w:p>
            <w:pPr>
              <w:pStyle w:val="TableContents"/>
              <w:bidi w:val="0"/>
              <w:spacing w:before="0" w:after="283"/>
              <w:jc w:val="left"/>
              <w:rPr>
                <w:sz w:val="4"/>
                <w:szCs w:val="4"/>
              </w:rPr>
            </w:pPr>
            <w:r>
              <w:rPr>
                <w:sz w:val="4"/>
                <w:szCs w:val="4"/>
              </w:rPr>
            </w:r>
          </w:p>
        </w:tc>
        <w:tc>
          <w:tcPr>
            <w:tcW w:w="924" w:type="dxa"/>
            <w:tcBorders/>
            <w:vAlign w:val="center"/>
          </w:tcPr>
          <w:p>
            <w:pPr>
              <w:pStyle w:val="TableContents"/>
              <w:bidi w:val="0"/>
              <w:spacing w:before="0" w:after="283"/>
              <w:jc w:val="left"/>
              <w:rPr>
                <w:sz w:val="4"/>
                <w:szCs w:val="4"/>
              </w:rPr>
            </w:pPr>
            <w:r>
              <w:rPr>
                <w:sz w:val="4"/>
                <w:szCs w:val="4"/>
              </w:rPr>
            </w:r>
          </w:p>
        </w:tc>
        <w:tc>
          <w:tcPr>
            <w:tcW w:w="521" w:type="dxa"/>
            <w:tcBorders/>
            <w:vAlign w:val="center"/>
          </w:tcPr>
          <w:p>
            <w:pPr>
              <w:pStyle w:val="TableContents"/>
              <w:bidi w:val="0"/>
              <w:spacing w:before="0" w:after="283"/>
              <w:jc w:val="left"/>
              <w:rPr>
                <w:sz w:val="4"/>
                <w:szCs w:val="4"/>
              </w:rPr>
            </w:pPr>
            <w:r>
              <w:rPr>
                <w:sz w:val="4"/>
                <w:szCs w:val="4"/>
              </w:rPr>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7803" w:type="dxa"/>
            <w:gridSpan w:val="2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w:t>
            </w:r>
          </w:p>
        </w:tc>
        <w:tc>
          <w:tcPr>
            <w:tcW w:w="521" w:type="dxa"/>
            <w:tcBorders/>
            <w:shd w:fill="FFFFFF" w:val="cle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7803" w:type="dxa"/>
            <w:gridSpan w:val="2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March 31,</w:t>
            </w:r>
          </w:p>
        </w:tc>
        <w:tc>
          <w:tcPr>
            <w:tcW w:w="521" w:type="dxa"/>
            <w:tcBorders/>
            <w:shd w:fill="FFFFFF" w:val="cle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7803" w:type="dxa"/>
            <w:gridSpan w:val="2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(unaudited)</w:t>
            </w:r>
          </w:p>
        </w:tc>
        <w:tc>
          <w:tcPr>
            <w:tcW w:w="52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GAAP</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86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Foreign</w:t>
              <w:br/>
              <w:t>Currency</w:t>
              <w:br/>
              <w:t>Exchange Rate</w:t>
              <w:br/>
              <w:t>Impact (1)</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2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Non-GAAP Constant Currency (2)</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GAAP</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4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GAAP % Change</w:t>
            </w:r>
          </w:p>
        </w:tc>
        <w:tc>
          <w:tcPr>
            <w:tcW w:w="27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79"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Non-GAAP Constant Currency %</w:t>
              <w:br/>
              <w:t>Change (3)</w:t>
            </w:r>
          </w:p>
        </w:tc>
        <w:tc>
          <w:tcPr>
            <w:tcW w:w="52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735"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86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2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4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27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79"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52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735"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Revenues</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865"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25"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45" w:type="dxa"/>
            <w:gridSpan w:val="2"/>
            <w:tcBorders/>
            <w:shd w:fill="CFF0FC" w:val="clear"/>
            <w:vAlign w:val="center"/>
          </w:tcPr>
          <w:p>
            <w:pPr>
              <w:pStyle w:val="TableContents"/>
              <w:bidi w:val="0"/>
              <w:spacing w:before="0" w:after="283"/>
              <w:jc w:val="left"/>
              <w:rPr/>
            </w:pPr>
            <w:r>
              <w:rPr/>
              <w:t> </w:t>
            </w:r>
          </w:p>
        </w:tc>
        <w:tc>
          <w:tcPr>
            <w:tcW w:w="271"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179" w:type="dxa"/>
            <w:gridSpan w:val="2"/>
            <w:tcBorders/>
            <w:shd w:fill="CFF0FC" w:val="clear"/>
            <w:vAlign w:val="center"/>
          </w:tcPr>
          <w:p>
            <w:pPr>
              <w:pStyle w:val="TableContents"/>
              <w:bidi w:val="0"/>
              <w:spacing w:before="0" w:after="283"/>
              <w:jc w:val="left"/>
              <w:rPr/>
            </w:pPr>
            <w:r>
              <w:rPr/>
              <w:t> </w:t>
            </w:r>
          </w:p>
        </w:tc>
        <w:tc>
          <w:tcPr>
            <w:tcW w:w="521" w:type="dxa"/>
            <w:tcBorders/>
            <w:shd w:fill="CFF0FC" w:val="clear"/>
            <w:vAlign w:val="center"/>
          </w:tcPr>
          <w:p>
            <w:pPr>
              <w:pStyle w:val="TableContents"/>
              <w:bidi w:val="0"/>
              <w:spacing w:before="0" w:after="283"/>
              <w:jc w:val="left"/>
              <w:rPr/>
            </w:pPr>
            <w:r>
              <w:rPr/>
              <w:t> </w:t>
            </w:r>
          </w:p>
        </w:tc>
      </w:tr>
      <w:tr>
        <w:trPr/>
        <w:tc>
          <w:tcPr>
            <w:tcW w:w="1735"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licenses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12,938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88"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577"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(82</w:t>
            </w:r>
          </w:p>
        </w:tc>
        <w:tc>
          <w:tcPr>
            <w:tcW w:w="16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60"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65"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13,020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17,412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05" w:type="dxa"/>
            <w:tcBorders/>
            <w:shd w:fill="FFFFFF" w:val="clear"/>
            <w:vAlign w:val="center"/>
          </w:tcPr>
          <w:p>
            <w:pPr>
              <w:pStyle w:val="TableContents"/>
              <w:bidi w:val="0"/>
              <w:spacing w:before="0" w:after="283"/>
              <w:jc w:val="left"/>
              <w:rPr/>
            </w:pPr>
            <w:r>
              <w:rPr/>
              <w:t> </w:t>
            </w:r>
          </w:p>
        </w:tc>
        <w:tc>
          <w:tcPr>
            <w:tcW w:w="74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-25.7</w:t>
            </w:r>
          </w:p>
        </w:tc>
        <w:tc>
          <w:tcPr>
            <w:tcW w:w="27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55" w:type="dxa"/>
            <w:tcBorders/>
            <w:shd w:fill="FFFFFF" w:val="clear"/>
            <w:vAlign w:val="center"/>
          </w:tcPr>
          <w:p>
            <w:pPr>
              <w:pStyle w:val="TableContents"/>
              <w:bidi w:val="0"/>
              <w:spacing w:before="0" w:after="283"/>
              <w:jc w:val="left"/>
              <w:rPr/>
            </w:pPr>
            <w:r>
              <w:rPr/>
              <w:t> </w:t>
            </w:r>
          </w:p>
        </w:tc>
        <w:tc>
          <w:tcPr>
            <w:tcW w:w="924"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-25.2</w:t>
            </w:r>
          </w:p>
        </w:tc>
        <w:tc>
          <w:tcPr>
            <w:tcW w:w="52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Subscription services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22,966</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88" w:type="dxa"/>
            <w:tcBorders/>
            <w:shd w:fill="CFF0FC" w:val="clear"/>
            <w:vAlign w:val="center"/>
          </w:tcPr>
          <w:p>
            <w:pPr>
              <w:pStyle w:val="TableContents"/>
              <w:bidi w:val="0"/>
              <w:spacing w:before="0" w:after="283"/>
              <w:jc w:val="left"/>
              <w:rPr/>
            </w:pPr>
            <w:r>
              <w:rPr/>
              <w:t> </w:t>
            </w:r>
          </w:p>
        </w:tc>
        <w:tc>
          <w:tcPr>
            <w:tcW w:w="57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86</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60" w:type="dxa"/>
            <w:tcBorders/>
            <w:shd w:fill="CFF0FC" w:val="clear"/>
            <w:vAlign w:val="center"/>
          </w:tcPr>
          <w:p>
            <w:pPr>
              <w:pStyle w:val="TableContents"/>
              <w:bidi w:val="0"/>
              <w:spacing w:before="0" w:after="283"/>
              <w:jc w:val="left"/>
              <w:rPr/>
            </w:pPr>
            <w:r>
              <w:rPr/>
              <w:t> </w:t>
            </w:r>
          </w:p>
        </w:tc>
        <w:tc>
          <w:tcPr>
            <w:tcW w:w="965"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22,880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18,810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05" w:type="dxa"/>
            <w:tcBorders/>
            <w:shd w:fill="CFF0FC" w:val="clear"/>
            <w:vAlign w:val="center"/>
          </w:tcPr>
          <w:p>
            <w:pPr>
              <w:pStyle w:val="TableContents"/>
              <w:bidi w:val="0"/>
              <w:spacing w:before="0" w:after="283"/>
              <w:jc w:val="left"/>
              <w:rPr/>
            </w:pPr>
            <w:r>
              <w:rPr/>
              <w:t> </w:t>
            </w:r>
          </w:p>
        </w:tc>
        <w:tc>
          <w:tcPr>
            <w:tcW w:w="74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22.1</w:t>
            </w:r>
          </w:p>
        </w:tc>
        <w:tc>
          <w:tcPr>
            <w:tcW w:w="27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5" w:type="dxa"/>
            <w:tcBorders/>
            <w:shd w:fill="CFF0FC" w:val="clear"/>
            <w:vAlign w:val="center"/>
          </w:tcPr>
          <w:p>
            <w:pPr>
              <w:pStyle w:val="TableContents"/>
              <w:bidi w:val="0"/>
              <w:spacing w:before="0" w:after="283"/>
              <w:jc w:val="left"/>
              <w:rPr/>
            </w:pPr>
            <w:r>
              <w:rPr/>
              <w:t> </w:t>
            </w:r>
          </w:p>
        </w:tc>
        <w:tc>
          <w:tcPr>
            <w:tcW w:w="92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21.6</w:t>
            </w:r>
          </w:p>
        </w:tc>
        <w:tc>
          <w:tcPr>
            <w:tcW w:w="521" w:type="dxa"/>
            <w:tcBorders/>
            <w:shd w:fill="CFF0FC"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Total product licenses and subscription services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35,904</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88" w:type="dxa"/>
            <w:tcBorders/>
            <w:shd w:fill="FFFFFF" w:val="clear"/>
            <w:vAlign w:val="center"/>
          </w:tcPr>
          <w:p>
            <w:pPr>
              <w:pStyle w:val="TableContents"/>
              <w:bidi w:val="0"/>
              <w:spacing w:before="0" w:after="283"/>
              <w:jc w:val="left"/>
              <w:rPr/>
            </w:pPr>
            <w:r>
              <w:rPr/>
              <w:t> </w:t>
            </w:r>
          </w:p>
        </w:tc>
        <w:tc>
          <w:tcPr>
            <w:tcW w:w="577"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60" w:type="dxa"/>
            <w:tcBorders/>
            <w:shd w:fill="FFFFFF" w:val="clear"/>
            <w:vAlign w:val="center"/>
          </w:tcPr>
          <w:p>
            <w:pPr>
              <w:pStyle w:val="TableContents"/>
              <w:bidi w:val="0"/>
              <w:spacing w:before="0" w:after="283"/>
              <w:jc w:val="left"/>
              <w:rPr/>
            </w:pPr>
            <w:r>
              <w:rPr/>
              <w:t> </w:t>
            </w:r>
          </w:p>
        </w:tc>
        <w:tc>
          <w:tcPr>
            <w:tcW w:w="965"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35,900</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36,222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05" w:type="dxa"/>
            <w:tcBorders/>
            <w:shd w:fill="FFFFFF" w:val="clear"/>
            <w:vAlign w:val="center"/>
          </w:tcPr>
          <w:p>
            <w:pPr>
              <w:pStyle w:val="TableContents"/>
              <w:bidi w:val="0"/>
              <w:spacing w:before="0" w:after="283"/>
              <w:jc w:val="left"/>
              <w:rPr/>
            </w:pPr>
            <w:r>
              <w:rPr/>
              <w:t> </w:t>
            </w:r>
          </w:p>
        </w:tc>
        <w:tc>
          <w:tcPr>
            <w:tcW w:w="74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-0.9</w:t>
            </w:r>
          </w:p>
        </w:tc>
        <w:tc>
          <w:tcPr>
            <w:tcW w:w="27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55" w:type="dxa"/>
            <w:tcBorders/>
            <w:shd w:fill="FFFFFF" w:val="clear"/>
            <w:vAlign w:val="center"/>
          </w:tcPr>
          <w:p>
            <w:pPr>
              <w:pStyle w:val="TableContents"/>
              <w:bidi w:val="0"/>
              <w:spacing w:before="0" w:after="283"/>
              <w:jc w:val="left"/>
              <w:rPr/>
            </w:pPr>
            <w:r>
              <w:rPr/>
              <w:t> </w:t>
            </w:r>
          </w:p>
        </w:tc>
        <w:tc>
          <w:tcPr>
            <w:tcW w:w="924"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-0.9</w:t>
            </w:r>
          </w:p>
        </w:tc>
        <w:tc>
          <w:tcPr>
            <w:tcW w:w="52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Product support</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62,685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88" w:type="dxa"/>
            <w:tcBorders/>
            <w:shd w:fill="CFF0FC" w:val="clear"/>
            <w:vAlign w:val="center"/>
          </w:tcPr>
          <w:p>
            <w:pPr>
              <w:pStyle w:val="TableContents"/>
              <w:bidi w:val="0"/>
              <w:spacing w:before="0" w:after="283"/>
              <w:jc w:val="left"/>
              <w:rPr/>
            </w:pPr>
            <w:r>
              <w:rPr/>
              <w:t> </w:t>
            </w:r>
          </w:p>
        </w:tc>
        <w:tc>
          <w:tcPr>
            <w:tcW w:w="57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244</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60" w:type="dxa"/>
            <w:tcBorders/>
            <w:shd w:fill="CFF0FC" w:val="clear"/>
            <w:vAlign w:val="center"/>
          </w:tcPr>
          <w:p>
            <w:pPr>
              <w:pStyle w:val="TableContents"/>
              <w:bidi w:val="0"/>
              <w:spacing w:before="0" w:after="283"/>
              <w:jc w:val="left"/>
              <w:rPr/>
            </w:pPr>
            <w:r>
              <w:rPr/>
              <w:t> </w:t>
            </w:r>
          </w:p>
        </w:tc>
        <w:tc>
          <w:tcPr>
            <w:tcW w:w="965"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62,441</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65,481</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05" w:type="dxa"/>
            <w:tcBorders/>
            <w:shd w:fill="CFF0FC" w:val="clear"/>
            <w:vAlign w:val="center"/>
          </w:tcPr>
          <w:p>
            <w:pPr>
              <w:pStyle w:val="TableContents"/>
              <w:bidi w:val="0"/>
              <w:spacing w:before="0" w:after="283"/>
              <w:jc w:val="left"/>
              <w:rPr/>
            </w:pPr>
            <w:r>
              <w:rPr/>
              <w:t> </w:t>
            </w:r>
          </w:p>
        </w:tc>
        <w:tc>
          <w:tcPr>
            <w:tcW w:w="74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-4.3</w:t>
            </w:r>
          </w:p>
        </w:tc>
        <w:tc>
          <w:tcPr>
            <w:tcW w:w="27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5" w:type="dxa"/>
            <w:tcBorders/>
            <w:shd w:fill="CFF0FC" w:val="clear"/>
            <w:vAlign w:val="center"/>
          </w:tcPr>
          <w:p>
            <w:pPr>
              <w:pStyle w:val="TableContents"/>
              <w:bidi w:val="0"/>
              <w:spacing w:before="0" w:after="283"/>
              <w:jc w:val="left"/>
              <w:rPr/>
            </w:pPr>
            <w:r>
              <w:rPr/>
              <w:t> </w:t>
            </w:r>
          </w:p>
        </w:tc>
        <w:tc>
          <w:tcPr>
            <w:tcW w:w="92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-4.6</w:t>
            </w:r>
          </w:p>
        </w:tc>
        <w:tc>
          <w:tcPr>
            <w:tcW w:w="52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Other services</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16,657</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88" w:type="dxa"/>
            <w:tcBorders/>
            <w:shd w:fill="FFFFFF" w:val="clear"/>
            <w:vAlign w:val="center"/>
          </w:tcPr>
          <w:p>
            <w:pPr>
              <w:pStyle w:val="TableContents"/>
              <w:bidi w:val="0"/>
              <w:spacing w:before="0" w:after="283"/>
              <w:jc w:val="left"/>
              <w:rPr/>
            </w:pPr>
            <w:r>
              <w:rPr/>
              <w:t> </w:t>
            </w:r>
          </w:p>
        </w:tc>
        <w:tc>
          <w:tcPr>
            <w:tcW w:w="577"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58</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60" w:type="dxa"/>
            <w:tcBorders/>
            <w:shd w:fill="FFFFFF" w:val="clear"/>
            <w:vAlign w:val="center"/>
          </w:tcPr>
          <w:p>
            <w:pPr>
              <w:pStyle w:val="TableContents"/>
              <w:bidi w:val="0"/>
              <w:spacing w:before="0" w:after="283"/>
              <w:jc w:val="left"/>
              <w:rPr/>
            </w:pPr>
            <w:r>
              <w:rPr/>
              <w:t> </w:t>
            </w:r>
          </w:p>
        </w:tc>
        <w:tc>
          <w:tcPr>
            <w:tcW w:w="965"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16,599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20,212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05" w:type="dxa"/>
            <w:tcBorders/>
            <w:shd w:fill="FFFFFF" w:val="clear"/>
            <w:vAlign w:val="center"/>
          </w:tcPr>
          <w:p>
            <w:pPr>
              <w:pStyle w:val="TableContents"/>
              <w:bidi w:val="0"/>
              <w:spacing w:before="0" w:after="283"/>
              <w:jc w:val="left"/>
              <w:rPr/>
            </w:pPr>
            <w:r>
              <w:rPr/>
              <w:t> </w:t>
            </w:r>
          </w:p>
        </w:tc>
        <w:tc>
          <w:tcPr>
            <w:tcW w:w="740"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-17.6</w:t>
            </w:r>
          </w:p>
        </w:tc>
        <w:tc>
          <w:tcPr>
            <w:tcW w:w="27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FFFFFF" w:val="clear"/>
            <w:vAlign w:val="center"/>
          </w:tcPr>
          <w:p>
            <w:pPr>
              <w:pStyle w:val="TableContents"/>
              <w:bidi w:val="0"/>
              <w:spacing w:before="0" w:after="283"/>
              <w:jc w:val="left"/>
              <w:rPr/>
            </w:pPr>
            <w:r>
              <w:rPr/>
              <w:t> </w:t>
            </w:r>
          </w:p>
        </w:tc>
        <w:tc>
          <w:tcPr>
            <w:tcW w:w="255" w:type="dxa"/>
            <w:tcBorders/>
            <w:shd w:fill="FFFFFF" w:val="clear"/>
            <w:vAlign w:val="center"/>
          </w:tcPr>
          <w:p>
            <w:pPr>
              <w:pStyle w:val="TableContents"/>
              <w:bidi w:val="0"/>
              <w:spacing w:before="0" w:after="283"/>
              <w:jc w:val="left"/>
              <w:rPr/>
            </w:pPr>
            <w:r>
              <w:rPr/>
              <w:t> </w:t>
            </w:r>
          </w:p>
        </w:tc>
        <w:tc>
          <w:tcPr>
            <w:tcW w:w="924"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-17.9</w:t>
            </w:r>
          </w:p>
        </w:tc>
        <w:tc>
          <w:tcPr>
            <w:tcW w:w="521" w:type="dxa"/>
            <w:tcBorders/>
            <w:shd w:fill="FFFFFF" w:val="clear"/>
            <w:vAlign w:val="center"/>
          </w:tcPr>
          <w:p>
            <w:pPr>
              <w:pStyle w:val="TableContents"/>
              <w:bidi w:val="0"/>
              <w:spacing w:before="0" w:after="283"/>
              <w:ind w:left="0" w:right="0" w:firstLine="200"/>
              <w:jc w:val="left"/>
              <w:rPr>
                <w:rFonts w:ascii="Times New Roman" w:hAnsi="Times New Roman"/>
                <w:color w:val="000000"/>
                <w:sz w:val="20"/>
              </w:rPr>
            </w:pPr>
            <w:r>
              <w:rPr>
                <w:rFonts w:ascii="Times New Roman" w:hAnsi="Times New Roman"/>
                <w:color w:val="000000"/>
                <w:sz w:val="20"/>
              </w:rPr>
              <w:t>%</w:t>
            </w:r>
          </w:p>
        </w:tc>
      </w:tr>
      <w:tr>
        <w:trPr/>
        <w:tc>
          <w:tcPr>
            <w:tcW w:w="1735" w:type="dxa"/>
            <w:tcBorders/>
            <w:shd w:fill="CFF0FC" w:val="clear"/>
            <w:vAlign w:val="center"/>
          </w:tcPr>
          <w:p>
            <w:pPr>
              <w:pStyle w:val="TableContents"/>
              <w:bidi w:val="0"/>
              <w:spacing w:before="0" w:after="283"/>
              <w:ind w:left="200" w:right="0" w:firstLine="200"/>
              <w:jc w:val="left"/>
              <w:rPr>
                <w:rFonts w:ascii="Times New Roman" w:hAnsi="Times New Roman"/>
                <w:b/>
                <w:color w:val="000000"/>
                <w:sz w:val="20"/>
              </w:rPr>
            </w:pPr>
            <w:r>
              <w:rPr>
                <w:rFonts w:ascii="Times New Roman" w:hAnsi="Times New Roman"/>
                <w:b/>
                <w:color w:val="000000"/>
                <w:sz w:val="20"/>
              </w:rPr>
              <w:t>Total revenues</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115,246</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88" w:type="dxa"/>
            <w:tcBorders/>
            <w:shd w:fill="CFF0FC" w:val="clear"/>
            <w:vAlign w:val="center"/>
          </w:tcPr>
          <w:p>
            <w:pPr>
              <w:pStyle w:val="TableContents"/>
              <w:bidi w:val="0"/>
              <w:spacing w:before="0" w:after="283"/>
              <w:jc w:val="left"/>
              <w:rPr/>
            </w:pPr>
            <w:r>
              <w:rPr/>
              <w:t> </w:t>
            </w:r>
          </w:p>
        </w:tc>
        <w:tc>
          <w:tcPr>
            <w:tcW w:w="57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306</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60" w:type="dxa"/>
            <w:tcBorders/>
            <w:shd w:fill="CFF0FC" w:val="clear"/>
            <w:vAlign w:val="center"/>
          </w:tcPr>
          <w:p>
            <w:pPr>
              <w:pStyle w:val="TableContents"/>
              <w:bidi w:val="0"/>
              <w:spacing w:before="0" w:after="283"/>
              <w:jc w:val="left"/>
              <w:rPr/>
            </w:pPr>
            <w:r>
              <w:rPr/>
              <w:t> </w:t>
            </w:r>
          </w:p>
        </w:tc>
        <w:tc>
          <w:tcPr>
            <w:tcW w:w="965"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114,940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121,915</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05" w:type="dxa"/>
            <w:tcBorders/>
            <w:shd w:fill="CFF0FC" w:val="clear"/>
            <w:vAlign w:val="center"/>
          </w:tcPr>
          <w:p>
            <w:pPr>
              <w:pStyle w:val="TableContents"/>
              <w:bidi w:val="0"/>
              <w:spacing w:before="0" w:after="283"/>
              <w:jc w:val="left"/>
              <w:rPr/>
            </w:pPr>
            <w:r>
              <w:rPr/>
              <w:t> </w:t>
            </w:r>
          </w:p>
        </w:tc>
        <w:tc>
          <w:tcPr>
            <w:tcW w:w="74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-5.5</w:t>
            </w:r>
          </w:p>
        </w:tc>
        <w:tc>
          <w:tcPr>
            <w:tcW w:w="27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5" w:type="dxa"/>
            <w:tcBorders/>
            <w:shd w:fill="CFF0FC" w:val="clear"/>
            <w:vAlign w:val="center"/>
          </w:tcPr>
          <w:p>
            <w:pPr>
              <w:pStyle w:val="TableContents"/>
              <w:bidi w:val="0"/>
              <w:spacing w:before="0" w:after="283"/>
              <w:jc w:val="left"/>
              <w:rPr/>
            </w:pPr>
            <w:r>
              <w:rPr/>
              <w:t> </w:t>
            </w:r>
          </w:p>
        </w:tc>
        <w:tc>
          <w:tcPr>
            <w:tcW w:w="92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w:t>
            </w:r>
          </w:p>
        </w:tc>
        <w:tc>
          <w:tcPr>
            <w:tcW w:w="52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bl>
    <w:p>
      <w:pPr>
        <w:pStyle w:val="TextBody"/>
        <w:bidi w:val="0"/>
        <w:jc w:val="both"/>
        <w:rPr/>
      </w:pPr>
      <w:r>
        <w:rPr/>
        <w:t> </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(1)</w:t>
      </w:r>
    </w:p>
    <w:p>
      <w:pPr>
        <w:pStyle w:val="TextBody"/>
        <w:bidi w:val="0"/>
        <w:jc w:val="both"/>
        <w:rPr>
          <w:rFonts w:ascii="Times New Roman" w:hAnsi="Times New Roman"/>
          <w:color w:val="000000"/>
          <w:sz w:val="20"/>
        </w:rPr>
      </w:pPr>
      <w:r>
        <w:rPr>
          <w:rFonts w:ascii="Times New Roman" w:hAnsi="Times New Roman"/>
          <w:color w:val="000000"/>
          <w:sz w:val="20"/>
        </w:rPr>
        <w:t>The “Foreign Currency Exchange Rate Impact” reflects the estimated impact of fluctuations in foreign currency exchange rates on international revenues. It shows the increase (decrease) in international revenues from the same period in the prior year, based on comparisons to the prior year quarterly average foreign currency exchange rates. “International revenues” refers to revenues from operations outside of the United States and Canada only where the functional currency is the local currency (i.e., excluding any location whose economy is considered highly inflationary).</w:t>
      </w:r>
    </w:p>
    <w:p>
      <w:pPr>
        <w:pStyle w:val="TextBody"/>
        <w:bidi w:val="0"/>
        <w:jc w:val="both"/>
        <w:rPr/>
      </w:pPr>
      <w:r>
        <w:rPr/>
        <w:t> </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(2)</w:t>
      </w:r>
    </w:p>
    <w:p>
      <w:pPr>
        <w:pStyle w:val="TextBody"/>
        <w:bidi w:val="0"/>
        <w:jc w:val="both"/>
        <w:rPr>
          <w:rFonts w:ascii="Times New Roman" w:hAnsi="Times New Roman"/>
          <w:color w:val="000000"/>
          <w:sz w:val="20"/>
        </w:rPr>
      </w:pPr>
      <w:r>
        <w:rPr>
          <w:rFonts w:ascii="Times New Roman" w:hAnsi="Times New Roman"/>
          <w:color w:val="000000"/>
          <w:sz w:val="20"/>
        </w:rPr>
        <w:t>The “Non-GAAP Constant Currency” reflects the current period GAAP amount, less the Foreign Currency Exchange Rate Impact.</w:t>
      </w:r>
    </w:p>
    <w:p>
      <w:pPr>
        <w:pStyle w:val="TextBody"/>
        <w:bidi w:val="0"/>
        <w:jc w:val="both"/>
        <w:rPr/>
      </w:pPr>
      <w:r>
        <w:rPr/>
        <w:t> </w:t>
      </w:r>
    </w:p>
    <w:p>
      <w:pPr>
        <w:pStyle w:val="TextBody"/>
        <w:bidi w:val="0"/>
        <w:spacing w:before="0" w:after="0"/>
        <w:jc w:val="both"/>
        <w:rPr>
          <w:rFonts w:ascii="Times New Roman" w:hAnsi="Times New Roman"/>
          <w:color w:val="000000"/>
          <w:sz w:val="20"/>
        </w:rPr>
      </w:pPr>
      <w:r>
        <w:rPr>
          <w:rFonts w:ascii="Times New Roman" w:hAnsi="Times New Roman"/>
          <w:color w:val="000000"/>
          <w:sz w:val="20"/>
        </w:rPr>
        <w:t>(3)</w:t>
      </w:r>
    </w:p>
    <w:p>
      <w:pPr>
        <w:pStyle w:val="TextBody"/>
        <w:bidi w:val="0"/>
        <w:jc w:val="both"/>
        <w:rPr>
          <w:rFonts w:ascii="Times New Roman" w:hAnsi="Times New Roman"/>
          <w:color w:val="000000"/>
          <w:sz w:val="20"/>
        </w:rPr>
      </w:pPr>
      <w:r>
        <w:rPr>
          <w:rFonts w:ascii="Times New Roman" w:hAnsi="Times New Roman"/>
          <w:color w:val="000000"/>
          <w:sz w:val="20"/>
        </w:rPr>
        <w:t>The “Non-GAAP Constant Currency % Change” reflects the percentage change between the current period Non-GAAP Constant Currency amount and the GAAP amount for the same period in the prior year.</w:t>
      </w:r>
    </w:p>
    <w:p>
      <w:pPr>
        <w:pStyle w:val="TextBody"/>
        <w:bidi w:val="0"/>
        <w:jc w:val="left"/>
        <w:rPr/>
      </w:pPr>
      <w:r>
        <w:rPr/>
        <w:t> </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DEFERRED REVENUE DETAIL</w:t>
      </w:r>
    </w:p>
    <w:p>
      <w:pPr>
        <w:pStyle w:val="TextBody"/>
        <w:bidi w:val="0"/>
        <w:jc w:val="center"/>
        <w:rPr>
          <w:rFonts w:ascii="Times New Roman" w:hAnsi="Times New Roman"/>
          <w:b/>
          <w:color w:val="000000"/>
          <w:sz w:val="20"/>
        </w:rPr>
      </w:pPr>
      <w:r>
        <w:rPr>
          <w:rFonts w:ascii="Times New Roman" w:hAnsi="Times New Roman"/>
          <w:b/>
          <w:color w:val="000000"/>
          <w:sz w:val="20"/>
        </w:rPr>
        <w:t>(in thousands)</w:t>
      </w:r>
    </w:p>
    <w:p>
      <w:pPr>
        <w:pStyle w:val="TextBody"/>
        <w:bidi w:val="0"/>
        <w:jc w:val="left"/>
        <w:rPr/>
      </w:pPr>
      <w:r>
        <w:rPr/>
        <w:t> </w:t>
      </w:r>
    </w:p>
    <w:tbl>
      <w:tblPr>
        <w:tblW w:w="10191" w:type="dxa"/>
        <w:jc w:val="left"/>
        <w:tblInd w:w="0" w:type="dxa"/>
        <w:tblLayout w:type="fixed"/>
        <w:tblCellMar>
          <w:top w:w="28" w:type="dxa"/>
          <w:left w:w="28" w:type="dxa"/>
          <w:bottom w:w="28" w:type="dxa"/>
          <w:right w:w="28" w:type="dxa"/>
        </w:tblCellMar>
      </w:tblPr>
      <w:tblGrid>
        <w:gridCol w:w="5991"/>
        <w:gridCol w:w="146"/>
        <w:gridCol w:w="211"/>
        <w:gridCol w:w="781"/>
        <w:gridCol w:w="146"/>
        <w:gridCol w:w="146"/>
        <w:gridCol w:w="233"/>
        <w:gridCol w:w="862"/>
        <w:gridCol w:w="146"/>
        <w:gridCol w:w="146"/>
        <w:gridCol w:w="211"/>
        <w:gridCol w:w="781"/>
        <w:gridCol w:w="391"/>
      </w:tblGrid>
      <w:tr>
        <w:trPr/>
        <w:tc>
          <w:tcPr>
            <w:tcW w:w="599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3" w:type="dxa"/>
            <w:tcBorders/>
            <w:vAlign w:val="center"/>
          </w:tcPr>
          <w:p>
            <w:pPr>
              <w:pStyle w:val="TableContents"/>
              <w:bidi w:val="0"/>
              <w:spacing w:before="0" w:after="283"/>
              <w:jc w:val="left"/>
              <w:rPr>
                <w:sz w:val="4"/>
                <w:szCs w:val="4"/>
              </w:rPr>
            </w:pPr>
            <w:r>
              <w:rPr>
                <w:sz w:val="4"/>
                <w:szCs w:val="4"/>
              </w:rPr>
            </w:r>
          </w:p>
        </w:tc>
        <w:tc>
          <w:tcPr>
            <w:tcW w:w="862"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11" w:type="dxa"/>
            <w:tcBorders/>
            <w:vAlign w:val="center"/>
          </w:tcPr>
          <w:p>
            <w:pPr>
              <w:pStyle w:val="TableContents"/>
              <w:bidi w:val="0"/>
              <w:spacing w:before="0" w:after="283"/>
              <w:jc w:val="left"/>
              <w:rPr>
                <w:sz w:val="4"/>
                <w:szCs w:val="4"/>
              </w:rPr>
            </w:pPr>
            <w:r>
              <w:rPr>
                <w:sz w:val="4"/>
                <w:szCs w:val="4"/>
              </w:rPr>
            </w:r>
          </w:p>
        </w:tc>
        <w:tc>
          <w:tcPr>
            <w:tcW w:w="781" w:type="dxa"/>
            <w:tcBorders/>
            <w:vAlign w:val="center"/>
          </w:tcPr>
          <w:p>
            <w:pPr>
              <w:pStyle w:val="TableContents"/>
              <w:bidi w:val="0"/>
              <w:spacing w:before="0" w:after="283"/>
              <w:jc w:val="left"/>
              <w:rPr>
                <w:sz w:val="4"/>
                <w:szCs w:val="4"/>
              </w:rPr>
            </w:pPr>
            <w:r>
              <w:rPr>
                <w:sz w:val="4"/>
                <w:szCs w:val="4"/>
              </w:rPr>
            </w:r>
          </w:p>
        </w:tc>
        <w:tc>
          <w:tcPr>
            <w:tcW w:w="391" w:type="dxa"/>
            <w:tcBorders/>
            <w:vAlign w:val="center"/>
          </w:tcPr>
          <w:p>
            <w:pPr>
              <w:pStyle w:val="TableContents"/>
              <w:bidi w:val="0"/>
              <w:spacing w:before="0" w:after="283"/>
              <w:jc w:val="left"/>
              <w:rPr>
                <w:sz w:val="4"/>
                <w:szCs w:val="4"/>
              </w:rPr>
            </w:pPr>
            <w:r>
              <w:rPr>
                <w:sz w:val="4"/>
                <w:szCs w:val="4"/>
              </w:rPr>
            </w:r>
          </w:p>
        </w:tc>
      </w:tr>
      <w:tr>
        <w:trPr/>
        <w:tc>
          <w:tcPr>
            <w:tcW w:w="599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March 31,</w:t>
            </w:r>
          </w:p>
        </w:tc>
        <w:tc>
          <w:tcPr>
            <w:tcW w:w="1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December 31,</w:t>
            </w:r>
          </w:p>
        </w:tc>
        <w:tc>
          <w:tcPr>
            <w:tcW w:w="1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March 31,</w:t>
            </w:r>
          </w:p>
        </w:tc>
        <w:tc>
          <w:tcPr>
            <w:tcW w:w="391" w:type="dxa"/>
            <w:tcBorders/>
            <w:shd w:fill="FFFFFF" w:val="clear"/>
            <w:vAlign w:val="center"/>
          </w:tcPr>
          <w:p>
            <w:pPr>
              <w:pStyle w:val="TableContents"/>
              <w:bidi w:val="0"/>
              <w:spacing w:before="0" w:after="283"/>
              <w:jc w:val="center"/>
              <w:rPr/>
            </w:pPr>
            <w:r>
              <w:rPr/>
              <w:t> </w:t>
            </w:r>
          </w:p>
        </w:tc>
      </w:tr>
      <w:tr>
        <w:trPr/>
        <w:tc>
          <w:tcPr>
            <w:tcW w:w="599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2024</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2023</w:t>
            </w:r>
          </w:p>
        </w:tc>
        <w:tc>
          <w:tcPr>
            <w:tcW w:w="39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5991"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(unaudited)</w:t>
            </w:r>
          </w:p>
        </w:tc>
        <w:tc>
          <w:tcPr>
            <w:tcW w:w="1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shd w:fill="FFFFFF" w:val="clear"/>
            <w:vAlign w:val="center"/>
          </w:tcPr>
          <w:p>
            <w:pPr>
              <w:pStyle w:val="TableContents"/>
              <w:bidi w:val="0"/>
              <w:spacing w:before="0" w:after="283"/>
              <w:jc w:val="left"/>
              <w:rPr>
                <w:rFonts w:cs="Calibri;sans-serif"/>
                <w:color w:val="000000"/>
                <w:szCs w:val="16"/>
              </w:rPr>
            </w:pPr>
            <w:r>
              <w:rPr>
                <w:rFonts w:cs="Calibri;sans-serif"/>
                <w:color w:val="000000"/>
                <w:szCs w:val="16"/>
              </w:rPr>
              <w:t>﻿</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(unaudited)</w:t>
            </w:r>
          </w:p>
        </w:tc>
        <w:tc>
          <w:tcPr>
            <w:tcW w:w="391" w:type="dxa"/>
            <w:tcBorders/>
            <w:shd w:fill="FFFFFF" w:val="clear"/>
            <w:vAlign w:val="center"/>
          </w:tcPr>
          <w:p>
            <w:pPr>
              <w:pStyle w:val="TableContents"/>
              <w:bidi w:val="0"/>
              <w:spacing w:before="0" w:after="283"/>
              <w:jc w:val="center"/>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Current:</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95" w:type="dxa"/>
            <w:gridSpan w:val="2"/>
            <w:tcBorders/>
            <w:shd w:fill="CFF0FC"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licenses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2,879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3,579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479</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subscription services revenue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60,280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shd w:fill="CFF0FC" w:val="clear"/>
            <w:vAlign w:val="center"/>
          </w:tcPr>
          <w:p>
            <w:pPr>
              <w:pStyle w:val="TableContents"/>
              <w:bidi w:val="0"/>
              <w:spacing w:before="0" w:after="283"/>
              <w:jc w:val="left"/>
              <w:rPr/>
            </w:pPr>
            <w:r>
              <w:rPr/>
              <w:t> </w:t>
            </w:r>
          </w:p>
        </w:tc>
        <w:tc>
          <w:tcPr>
            <w:tcW w:w="86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65,512</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46,719</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support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148,078</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pPr>
            <w:r>
              <w:rPr/>
              <w:t> </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152,012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159,792</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other services revenue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4,718</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6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7,059</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4,778</w:t>
            </w:r>
          </w:p>
        </w:tc>
        <w:tc>
          <w:tcPr>
            <w:tcW w:w="3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200"/>
              <w:jc w:val="left"/>
              <w:rPr/>
            </w:pPr>
            <w:r>
              <w:rPr/>
              <w:t> </w:t>
            </w:r>
          </w:p>
        </w:tc>
      </w:tr>
      <w:tr>
        <w:trPr/>
        <w:tc>
          <w:tcPr>
            <w:tcW w:w="5991"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Total current deferred revenue and advance payments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215,955</w:t>
            </w:r>
          </w:p>
        </w:tc>
        <w:tc>
          <w:tcPr>
            <w:tcW w:w="14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228,162</w:t>
            </w:r>
          </w:p>
        </w:tc>
        <w:tc>
          <w:tcPr>
            <w:tcW w:w="14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211,768</w:t>
            </w:r>
          </w:p>
        </w:tc>
        <w:tc>
          <w:tcPr>
            <w:tcW w:w="3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95"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Non-current:</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licenses revenue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0</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2,710</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subscription services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1,992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pPr>
            <w:r>
              <w:rPr/>
              <w:t> </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3,097</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2,671</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support revenue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4,094</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shd w:fill="CFF0FC" w:val="clear"/>
            <w:vAlign w:val="center"/>
          </w:tcPr>
          <w:p>
            <w:pPr>
              <w:pStyle w:val="TableContents"/>
              <w:bidi w:val="0"/>
              <w:spacing w:before="0" w:after="283"/>
              <w:jc w:val="left"/>
              <w:rPr/>
            </w:pPr>
            <w:r>
              <w:rPr/>
              <w:t> </w:t>
            </w:r>
          </w:p>
        </w:tc>
        <w:tc>
          <w:tcPr>
            <w:tcW w:w="86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4,984</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5,712</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other services revenue</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400</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62"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443</w:t>
            </w:r>
          </w:p>
        </w:tc>
        <w:tc>
          <w:tcPr>
            <w:tcW w:w="14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553</w:t>
            </w:r>
          </w:p>
        </w:tc>
        <w:tc>
          <w:tcPr>
            <w:tcW w:w="391" w:type="dxa"/>
            <w:tcBorders>
              <w:bottom w:val="single" w:sz="4" w:space="0" w:color="000000"/>
            </w:tcBorders>
            <w:shd w:fill="FFFFFF" w:val="clear"/>
            <w:tcMar>
              <w:top w:w="0" w:type="dxa"/>
              <w:left w:w="0" w:type="dxa"/>
              <w:right w:w="0" w:type="dxa"/>
            </w:tcMar>
            <w:vAlign w:val="center"/>
          </w:tcPr>
          <w:p>
            <w:pPr>
              <w:pStyle w:val="TableContents"/>
              <w:bidi w:val="0"/>
              <w:spacing w:before="0" w:after="283"/>
              <w:ind w:left="0" w:right="0" w:firstLine="200"/>
              <w:jc w:val="left"/>
              <w:rPr/>
            </w:pPr>
            <w:r>
              <w:rPr/>
              <w:t> </w:t>
            </w:r>
          </w:p>
        </w:tc>
      </w:tr>
      <w:tr>
        <w:trPr/>
        <w:tc>
          <w:tcPr>
            <w:tcW w:w="5991" w:type="dxa"/>
            <w:tcBorders/>
            <w:shd w:fill="CFF0FC"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Total non-current deferred revenue and advance payments</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6,486</w:t>
            </w:r>
          </w:p>
        </w:tc>
        <w:tc>
          <w:tcPr>
            <w:tcW w:w="14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8,524</w:t>
            </w:r>
          </w:p>
        </w:tc>
        <w:tc>
          <w:tcPr>
            <w:tcW w:w="146"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11,646</w:t>
            </w:r>
          </w:p>
        </w:tc>
        <w:tc>
          <w:tcPr>
            <w:tcW w:w="391" w:type="dxa"/>
            <w:tcBorders>
              <w:bottom w:val="double" w:sz="6" w:space="0" w:color="000000"/>
            </w:tcBorders>
            <w:shd w:fill="CFF0FC" w:val="clear"/>
            <w:tcMar>
              <w:top w:w="0" w:type="dxa"/>
              <w:left w:w="0" w:type="dxa"/>
              <w:right w:w="0" w:type="dxa"/>
            </w:tcM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cs="Calibri;sans-serif"/>
                <w:color w:val="000000"/>
                <w:szCs w:val="20"/>
              </w:rPr>
            </w:pPr>
            <w:r>
              <w:rPr>
                <w:rFonts w:cs="Calibri;sans-serif"/>
                <w:color w:val="000000"/>
                <w:szCs w:val="20"/>
              </w:rPr>
              <w:t>﻿</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095" w:type="dxa"/>
            <w:gridSpan w:val="2"/>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992" w:type="dxa"/>
            <w:gridSpan w:val="2"/>
            <w:tcBorders/>
            <w:shd w:fill="FFFFFF" w:val="clear"/>
            <w:vAlign w:val="center"/>
          </w:tcPr>
          <w:p>
            <w:pPr>
              <w:pStyle w:val="TableContents"/>
              <w:bidi w:val="0"/>
              <w:spacing w:before="0" w:after="283"/>
              <w:jc w:val="left"/>
              <w:rPr/>
            </w:pPr>
            <w:r>
              <w:rPr/>
              <w:t> </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b/>
                <w:color w:val="000000"/>
                <w:sz w:val="20"/>
              </w:rPr>
            </w:pPr>
            <w:r>
              <w:rPr>
                <w:rFonts w:ascii="Times New Roman" w:hAnsi="Times New Roman"/>
                <w:b/>
                <w:color w:val="000000"/>
                <w:sz w:val="20"/>
              </w:rPr>
              <w:t>Total current and non-current:</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095" w:type="dxa"/>
            <w:gridSpan w:val="2"/>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992" w:type="dxa"/>
            <w:gridSpan w:val="2"/>
            <w:tcBorders/>
            <w:shd w:fill="CFF0FC" w:val="clear"/>
            <w:vAlign w:val="center"/>
          </w:tcPr>
          <w:p>
            <w:pPr>
              <w:pStyle w:val="TableContents"/>
              <w:bidi w:val="0"/>
              <w:spacing w:before="0" w:after="283"/>
              <w:jc w:val="left"/>
              <w:rPr/>
            </w:pPr>
            <w:r>
              <w:rPr/>
              <w:t> </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licenses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2,879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3,579</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3,189</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subscription services revenue</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62,272</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shd w:fill="CFF0FC" w:val="clear"/>
            <w:vAlign w:val="center"/>
          </w:tcPr>
          <w:p>
            <w:pPr>
              <w:pStyle w:val="TableContents"/>
              <w:bidi w:val="0"/>
              <w:spacing w:before="0" w:after="283"/>
              <w:jc w:val="left"/>
              <w:rPr/>
            </w:pPr>
            <w:r>
              <w:rPr/>
              <w:t> </w:t>
            </w:r>
          </w:p>
        </w:tc>
        <w:tc>
          <w:tcPr>
            <w:tcW w:w="862"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68,609</w:t>
            </w:r>
          </w:p>
        </w:tc>
        <w:tc>
          <w:tcPr>
            <w:tcW w:w="14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shd w:fill="CFF0FC" w:val="clear"/>
            <w:vAlign w:val="center"/>
          </w:tcPr>
          <w:p>
            <w:pPr>
              <w:pStyle w:val="TableContents"/>
              <w:bidi w:val="0"/>
              <w:spacing w:before="0" w:after="283"/>
              <w:jc w:val="left"/>
              <w:rPr/>
            </w:pPr>
            <w:r>
              <w:rPr/>
              <w:t> </w:t>
            </w:r>
          </w:p>
        </w:tc>
        <w:tc>
          <w:tcPr>
            <w:tcW w:w="781"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49,390</w:t>
            </w:r>
          </w:p>
        </w:tc>
        <w:tc>
          <w:tcPr>
            <w:tcW w:w="391" w:type="dxa"/>
            <w:tcBorders/>
            <w:shd w:fill="CFF0FC" w:val="clear"/>
            <w:vAlign w:val="center"/>
          </w:tcPr>
          <w:p>
            <w:pPr>
              <w:pStyle w:val="TableContents"/>
              <w:bidi w:val="0"/>
              <w:spacing w:before="0" w:after="283"/>
              <w:jc w:val="left"/>
              <w:rPr/>
            </w:pPr>
            <w:r>
              <w:rPr/>
              <w:t> </w:t>
            </w:r>
          </w:p>
        </w:tc>
      </w:tr>
      <w:tr>
        <w:trPr/>
        <w:tc>
          <w:tcPr>
            <w:tcW w:w="5991"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product support revenue</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152,172</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shd w:fill="FFFFFF" w:val="clear"/>
            <w:vAlign w:val="center"/>
          </w:tcPr>
          <w:p>
            <w:pPr>
              <w:pStyle w:val="TableContents"/>
              <w:bidi w:val="0"/>
              <w:spacing w:before="0" w:after="283"/>
              <w:jc w:val="left"/>
              <w:rPr/>
            </w:pPr>
            <w:r>
              <w:rPr/>
              <w:t> </w:t>
            </w:r>
          </w:p>
        </w:tc>
        <w:tc>
          <w:tcPr>
            <w:tcW w:w="862"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156,996</w:t>
            </w:r>
          </w:p>
        </w:tc>
        <w:tc>
          <w:tcPr>
            <w:tcW w:w="1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shd w:fill="FFFFFF" w:val="clear"/>
            <w:vAlign w:val="center"/>
          </w:tcPr>
          <w:p>
            <w:pPr>
              <w:pStyle w:val="TableContents"/>
              <w:bidi w:val="0"/>
              <w:spacing w:before="0" w:after="283"/>
              <w:jc w:val="left"/>
              <w:rPr/>
            </w:pPr>
            <w:r>
              <w:rPr/>
              <w:t> </w:t>
            </w:r>
          </w:p>
        </w:tc>
        <w:tc>
          <w:tcPr>
            <w:tcW w:w="781" w:type="dxa"/>
            <w:tcBorders/>
            <w:shd w:fill="FFFFFF"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165,504</w:t>
            </w:r>
          </w:p>
        </w:tc>
        <w:tc>
          <w:tcPr>
            <w:tcW w:w="391" w:type="dxa"/>
            <w:tcBorders/>
            <w:shd w:fill="FFFFFF" w:val="clear"/>
            <w:vAlign w:val="center"/>
          </w:tcPr>
          <w:p>
            <w:pPr>
              <w:pStyle w:val="TableContents"/>
              <w:bidi w:val="0"/>
              <w:spacing w:before="0" w:after="283"/>
              <w:jc w:val="left"/>
              <w:rPr/>
            </w:pPr>
            <w:r>
              <w:rPr/>
              <w:t> </w:t>
            </w:r>
          </w:p>
        </w:tc>
      </w:tr>
      <w:tr>
        <w:trPr/>
        <w:tc>
          <w:tcPr>
            <w:tcW w:w="599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Deferred other services revenue</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5,118</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3"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862"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7,502</w:t>
            </w:r>
          </w:p>
        </w:tc>
        <w:tc>
          <w:tcPr>
            <w:tcW w:w="146"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1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left"/>
              <w:rPr/>
            </w:pPr>
            <w:r>
              <w:rPr/>
              <w:t> </w:t>
            </w:r>
          </w:p>
        </w:tc>
        <w:tc>
          <w:tcPr>
            <w:tcW w:w="781" w:type="dxa"/>
            <w:tcBorders>
              <w:bottom w:val="single" w:sz="4" w:space="0" w:color="000000"/>
            </w:tcBorders>
            <w:shd w:fill="CFF0FC"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5,331</w:t>
            </w:r>
          </w:p>
        </w:tc>
        <w:tc>
          <w:tcPr>
            <w:tcW w:w="391" w:type="dxa"/>
            <w:tcBorders>
              <w:bottom w:val="single" w:sz="4" w:space="0" w:color="000000"/>
            </w:tcBorders>
            <w:shd w:fill="CFF0FC" w:val="clear"/>
            <w:tcMar>
              <w:top w:w="0" w:type="dxa"/>
              <w:left w:w="0" w:type="dxa"/>
              <w:right w:w="0" w:type="dxa"/>
            </w:tcMar>
            <w:vAlign w:val="center"/>
          </w:tcPr>
          <w:p>
            <w:pPr>
              <w:pStyle w:val="TableContents"/>
              <w:bidi w:val="0"/>
              <w:spacing w:before="0" w:after="283"/>
              <w:ind w:left="0" w:right="0" w:firstLine="200"/>
              <w:jc w:val="left"/>
              <w:rPr/>
            </w:pPr>
            <w:r>
              <w:rPr/>
              <w:t> </w:t>
            </w:r>
          </w:p>
        </w:tc>
      </w:tr>
      <w:tr>
        <w:trPr/>
        <w:tc>
          <w:tcPr>
            <w:tcW w:w="5991" w:type="dxa"/>
            <w:tcBorders/>
            <w:shd w:fill="FFFFFF" w:val="clear"/>
            <w:vAlign w:val="center"/>
          </w:tcPr>
          <w:p>
            <w:pPr>
              <w:pStyle w:val="TableContents"/>
              <w:bidi w:val="0"/>
              <w:spacing w:before="0" w:after="283"/>
              <w:ind w:left="200" w:right="0" w:firstLine="200"/>
              <w:jc w:val="left"/>
              <w:rPr>
                <w:rFonts w:ascii="Times New Roman" w:hAnsi="Times New Roman"/>
                <w:color w:val="000000"/>
                <w:sz w:val="20"/>
              </w:rPr>
            </w:pPr>
            <w:r>
              <w:rPr>
                <w:rFonts w:ascii="Times New Roman" w:hAnsi="Times New Roman"/>
                <w:color w:val="000000"/>
                <w:sz w:val="20"/>
              </w:rPr>
              <w:t>Total current and non-current deferred revenue and advance payments</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222,441</w:t>
            </w:r>
          </w:p>
        </w:tc>
        <w:tc>
          <w:tcPr>
            <w:tcW w:w="14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3"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62"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236,686</w:t>
            </w:r>
          </w:p>
        </w:tc>
        <w:tc>
          <w:tcPr>
            <w:tcW w:w="146"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1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78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223,414</w:t>
            </w:r>
          </w:p>
        </w:tc>
        <w:tc>
          <w:tcPr>
            <w:tcW w:w="391" w:type="dxa"/>
            <w:tcBorders>
              <w:bottom w:val="double" w:sz="6"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bl>
    <w:p>
      <w:pPr>
        <w:pStyle w:val="TextBody"/>
        <w:bidi w:val="0"/>
        <w:jc w:val="left"/>
        <w:rPr/>
      </w:pPr>
      <w:r>
        <w:rPr/>
        <w:t> </w:t>
      </w:r>
    </w:p>
    <w:p>
      <w:pPr>
        <w:pStyle w:val="TextBody"/>
        <w:bidi w:val="0"/>
        <w:jc w:val="both"/>
        <w:rPr>
          <w:rFonts w:ascii="Times New Roman" w:hAnsi="Times New Roman"/>
          <w:color w:val="000000"/>
          <w:sz w:val="20"/>
        </w:rPr>
      </w:pPr>
      <w:r>
        <w:rPr>
          <w:rFonts w:ascii="Times New Roman" w:hAnsi="Times New Roman"/>
          <w:color w:val="000000"/>
          <w:sz w:val="20"/>
        </w:rPr>
        <w:t>* Derived from audited financial statements.</w:t>
      </w:r>
    </w:p>
    <w:p>
      <w:pPr>
        <w:pStyle w:val="TextBody"/>
        <w:bidi w:val="0"/>
        <w:jc w:val="left"/>
        <w:rPr/>
      </w:pPr>
      <w:r>
        <w:rPr/>
        <w:t> </w:t>
      </w:r>
    </w:p>
    <w:p>
      <w:pPr>
        <w:pStyle w:val="HorizontalLine"/>
        <w:pBdr>
          <w:bottom w:val="double" w:sz="2" w:space="0" w:color="808080"/>
        </w:pBdr>
        <w:bidi w:val="0"/>
        <w:spacing w:before="0" w:after="283"/>
        <w:jc w:val="left"/>
        <w:rPr/>
      </w:pPr>
      <w:r>
        <w:rPr/>
      </w:r>
    </w:p>
    <w:p>
      <w:pPr>
        <w:pStyle w:val="TextBody"/>
        <w:bidi w:val="0"/>
        <w:jc w:val="left"/>
        <w:rPr/>
      </w:pPr>
      <w:r>
        <w:rPr/>
        <w:t> </w:t>
      </w:r>
    </w:p>
    <w:p>
      <w:pPr>
        <w:pStyle w:val="TextBody"/>
        <w:bidi w:val="0"/>
        <w:jc w:val="center"/>
        <w:rPr>
          <w:rFonts w:ascii="Times New Roman" w:hAnsi="Times New Roman"/>
          <w:b/>
          <w:color w:val="000000"/>
          <w:sz w:val="20"/>
        </w:rPr>
      </w:pPr>
      <w:r>
        <w:rPr>
          <w:rFonts w:ascii="Times New Roman" w:hAnsi="Times New Roman"/>
          <w:b/>
          <w:color w:val="000000"/>
          <w:sz w:val="20"/>
        </w:rPr>
        <w:t>MICROSTRATEGY INCORPORATED</w:t>
      </w:r>
    </w:p>
    <w:p>
      <w:pPr>
        <w:pStyle w:val="TextBody"/>
        <w:bidi w:val="0"/>
        <w:jc w:val="center"/>
        <w:rPr>
          <w:rFonts w:ascii="Times New Roman" w:hAnsi="Times New Roman"/>
          <w:b/>
          <w:color w:val="000000"/>
          <w:sz w:val="20"/>
        </w:rPr>
      </w:pPr>
      <w:r>
        <w:rPr>
          <w:rFonts w:ascii="Times New Roman" w:hAnsi="Times New Roman"/>
          <w:b/>
          <w:color w:val="000000"/>
          <w:sz w:val="20"/>
        </w:rPr>
        <w:t>SEGMENT INFORMATION</w:t>
      </w:r>
    </w:p>
    <w:p>
      <w:pPr>
        <w:pStyle w:val="TextBody"/>
        <w:bidi w:val="0"/>
        <w:jc w:val="center"/>
        <w:rPr>
          <w:rFonts w:ascii="Times New Roman" w:hAnsi="Times New Roman"/>
          <w:b/>
          <w:color w:val="000000"/>
          <w:sz w:val="20"/>
        </w:rPr>
      </w:pPr>
      <w:r>
        <w:rPr>
          <w:rFonts w:ascii="Times New Roman" w:hAnsi="Times New Roman"/>
          <w:b/>
          <w:color w:val="000000"/>
          <w:sz w:val="20"/>
        </w:rPr>
        <w:t>(in thousands, unaudited)</w:t>
      </w:r>
    </w:p>
    <w:p>
      <w:pPr>
        <w:pStyle w:val="TextBody"/>
        <w:bidi w:val="0"/>
        <w:jc w:val="left"/>
        <w:rPr/>
      </w:pPr>
      <w:r>
        <w:rPr/>
        <w:t> </w:t>
      </w:r>
    </w:p>
    <w:tbl>
      <w:tblPr>
        <w:tblW w:w="10205" w:type="dxa"/>
        <w:jc w:val="left"/>
        <w:tblInd w:w="0" w:type="dxa"/>
        <w:tblLayout w:type="fixed"/>
        <w:tblCellMar>
          <w:top w:w="28" w:type="dxa"/>
          <w:left w:w="28" w:type="dxa"/>
          <w:bottom w:w="28" w:type="dxa"/>
          <w:right w:w="28" w:type="dxa"/>
        </w:tblCellMar>
      </w:tblPr>
      <w:tblGrid>
        <w:gridCol w:w="1346"/>
        <w:gridCol w:w="146"/>
        <w:gridCol w:w="237"/>
        <w:gridCol w:w="880"/>
        <w:gridCol w:w="166"/>
        <w:gridCol w:w="146"/>
        <w:gridCol w:w="241"/>
        <w:gridCol w:w="960"/>
        <w:gridCol w:w="166"/>
        <w:gridCol w:w="146"/>
        <w:gridCol w:w="238"/>
        <w:gridCol w:w="949"/>
        <w:gridCol w:w="166"/>
        <w:gridCol w:w="146"/>
        <w:gridCol w:w="237"/>
        <w:gridCol w:w="880"/>
        <w:gridCol w:w="166"/>
        <w:gridCol w:w="146"/>
        <w:gridCol w:w="251"/>
        <w:gridCol w:w="877"/>
        <w:gridCol w:w="166"/>
        <w:gridCol w:w="146"/>
        <w:gridCol w:w="251"/>
        <w:gridCol w:w="934"/>
        <w:gridCol w:w="218"/>
      </w:tblGrid>
      <w:tr>
        <w:trPr/>
        <w:tc>
          <w:tcPr>
            <w:tcW w:w="134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7" w:type="dxa"/>
            <w:tcBorders/>
            <w:vAlign w:val="center"/>
          </w:tcPr>
          <w:p>
            <w:pPr>
              <w:pStyle w:val="TableContents"/>
              <w:bidi w:val="0"/>
              <w:spacing w:before="0" w:after="283"/>
              <w:jc w:val="left"/>
              <w:rPr>
                <w:sz w:val="4"/>
                <w:szCs w:val="4"/>
              </w:rPr>
            </w:pPr>
            <w:r>
              <w:rPr>
                <w:sz w:val="4"/>
                <w:szCs w:val="4"/>
              </w:rPr>
            </w:r>
          </w:p>
        </w:tc>
        <w:tc>
          <w:tcPr>
            <w:tcW w:w="88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41" w:type="dxa"/>
            <w:tcBorders/>
            <w:vAlign w:val="center"/>
          </w:tcPr>
          <w:p>
            <w:pPr>
              <w:pStyle w:val="TableContents"/>
              <w:bidi w:val="0"/>
              <w:spacing w:before="0" w:after="283"/>
              <w:jc w:val="left"/>
              <w:rPr>
                <w:sz w:val="4"/>
                <w:szCs w:val="4"/>
              </w:rPr>
            </w:pPr>
            <w:r>
              <w:rPr>
                <w:sz w:val="4"/>
                <w:szCs w:val="4"/>
              </w:rPr>
            </w:r>
          </w:p>
        </w:tc>
        <w:tc>
          <w:tcPr>
            <w:tcW w:w="96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8" w:type="dxa"/>
            <w:tcBorders/>
            <w:vAlign w:val="center"/>
          </w:tcPr>
          <w:p>
            <w:pPr>
              <w:pStyle w:val="TableContents"/>
              <w:bidi w:val="0"/>
              <w:spacing w:before="0" w:after="283"/>
              <w:jc w:val="left"/>
              <w:rPr>
                <w:sz w:val="4"/>
                <w:szCs w:val="4"/>
              </w:rPr>
            </w:pPr>
            <w:r>
              <w:rPr>
                <w:sz w:val="4"/>
                <w:szCs w:val="4"/>
              </w:rPr>
            </w:r>
          </w:p>
        </w:tc>
        <w:tc>
          <w:tcPr>
            <w:tcW w:w="949"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37" w:type="dxa"/>
            <w:tcBorders/>
            <w:vAlign w:val="center"/>
          </w:tcPr>
          <w:p>
            <w:pPr>
              <w:pStyle w:val="TableContents"/>
              <w:bidi w:val="0"/>
              <w:spacing w:before="0" w:after="283"/>
              <w:jc w:val="left"/>
              <w:rPr>
                <w:sz w:val="4"/>
                <w:szCs w:val="4"/>
              </w:rPr>
            </w:pPr>
            <w:r>
              <w:rPr>
                <w:sz w:val="4"/>
                <w:szCs w:val="4"/>
              </w:rPr>
            </w:r>
          </w:p>
        </w:tc>
        <w:tc>
          <w:tcPr>
            <w:tcW w:w="880"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51" w:type="dxa"/>
            <w:tcBorders/>
            <w:vAlign w:val="center"/>
          </w:tcPr>
          <w:p>
            <w:pPr>
              <w:pStyle w:val="TableContents"/>
              <w:bidi w:val="0"/>
              <w:spacing w:before="0" w:after="283"/>
              <w:jc w:val="left"/>
              <w:rPr>
                <w:sz w:val="4"/>
                <w:szCs w:val="4"/>
              </w:rPr>
            </w:pPr>
            <w:r>
              <w:rPr>
                <w:sz w:val="4"/>
                <w:szCs w:val="4"/>
              </w:rPr>
            </w:r>
          </w:p>
        </w:tc>
        <w:tc>
          <w:tcPr>
            <w:tcW w:w="877" w:type="dxa"/>
            <w:tcBorders/>
            <w:vAlign w:val="center"/>
          </w:tcPr>
          <w:p>
            <w:pPr>
              <w:pStyle w:val="TableContents"/>
              <w:bidi w:val="0"/>
              <w:spacing w:before="0" w:after="283"/>
              <w:jc w:val="left"/>
              <w:rPr>
                <w:sz w:val="4"/>
                <w:szCs w:val="4"/>
              </w:rPr>
            </w:pPr>
            <w:r>
              <w:rPr>
                <w:sz w:val="4"/>
                <w:szCs w:val="4"/>
              </w:rPr>
            </w:r>
          </w:p>
        </w:tc>
        <w:tc>
          <w:tcPr>
            <w:tcW w:w="166" w:type="dxa"/>
            <w:tcBorders/>
            <w:vAlign w:val="center"/>
          </w:tcPr>
          <w:p>
            <w:pPr>
              <w:pStyle w:val="TableContents"/>
              <w:bidi w:val="0"/>
              <w:spacing w:before="0" w:after="283"/>
              <w:jc w:val="left"/>
              <w:rPr>
                <w:sz w:val="4"/>
                <w:szCs w:val="4"/>
              </w:rPr>
            </w:pPr>
            <w:r>
              <w:rPr>
                <w:sz w:val="4"/>
                <w:szCs w:val="4"/>
              </w:rPr>
            </w:r>
          </w:p>
        </w:tc>
        <w:tc>
          <w:tcPr>
            <w:tcW w:w="146" w:type="dxa"/>
            <w:tcBorders/>
            <w:vAlign w:val="center"/>
          </w:tcPr>
          <w:p>
            <w:pPr>
              <w:pStyle w:val="TableContents"/>
              <w:bidi w:val="0"/>
              <w:spacing w:before="0" w:after="283"/>
              <w:jc w:val="left"/>
              <w:rPr>
                <w:sz w:val="4"/>
                <w:szCs w:val="4"/>
              </w:rPr>
            </w:pPr>
            <w:r>
              <w:rPr>
                <w:sz w:val="4"/>
                <w:szCs w:val="4"/>
              </w:rPr>
            </w:r>
          </w:p>
        </w:tc>
        <w:tc>
          <w:tcPr>
            <w:tcW w:w="251" w:type="dxa"/>
            <w:tcBorders/>
            <w:vAlign w:val="center"/>
          </w:tcPr>
          <w:p>
            <w:pPr>
              <w:pStyle w:val="TableContents"/>
              <w:bidi w:val="0"/>
              <w:spacing w:before="0" w:after="283"/>
              <w:jc w:val="left"/>
              <w:rPr>
                <w:sz w:val="4"/>
                <w:szCs w:val="4"/>
              </w:rPr>
            </w:pPr>
            <w:r>
              <w:rPr>
                <w:sz w:val="4"/>
                <w:szCs w:val="4"/>
              </w:rPr>
            </w:r>
          </w:p>
        </w:tc>
        <w:tc>
          <w:tcPr>
            <w:tcW w:w="934" w:type="dxa"/>
            <w:tcBorders/>
            <w:vAlign w:val="center"/>
          </w:tcPr>
          <w:p>
            <w:pPr>
              <w:pStyle w:val="TableContents"/>
              <w:bidi w:val="0"/>
              <w:spacing w:before="0" w:after="283"/>
              <w:jc w:val="left"/>
              <w:rPr>
                <w:sz w:val="4"/>
                <w:szCs w:val="4"/>
              </w:rPr>
            </w:pPr>
            <w:r>
              <w:rPr>
                <w:sz w:val="4"/>
                <w:szCs w:val="4"/>
              </w:rPr>
            </w:r>
          </w:p>
        </w:tc>
        <w:tc>
          <w:tcPr>
            <w:tcW w:w="218" w:type="dxa"/>
            <w:tcBorders/>
            <w:vAlign w:val="center"/>
          </w:tcPr>
          <w:p>
            <w:pPr>
              <w:pStyle w:val="TableContents"/>
              <w:bidi w:val="0"/>
              <w:spacing w:before="0" w:after="283"/>
              <w:jc w:val="left"/>
              <w:rPr>
                <w:sz w:val="4"/>
                <w:szCs w:val="4"/>
              </w:rPr>
            </w:pPr>
            <w:r>
              <w:rPr>
                <w:sz w:val="4"/>
                <w:szCs w:val="4"/>
              </w:rPr>
            </w:r>
          </w:p>
        </w:tc>
      </w:tr>
      <w:tr>
        <w:trPr/>
        <w:tc>
          <w:tcPr>
            <w:tcW w:w="134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4129" w:type="dxa"/>
            <w:gridSpan w:val="10"/>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 March 31, 2024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left"/>
              <w:rPr/>
            </w:pPr>
            <w:r>
              <w:rPr/>
              <w:t> </w:t>
            </w:r>
          </w:p>
        </w:tc>
        <w:tc>
          <w:tcPr>
            <w:tcW w:w="4054" w:type="dxa"/>
            <w:gridSpan w:val="10"/>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Three Months Ended March 31, 2023</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346" w:type="dxa"/>
            <w:tcBorders/>
            <w:shd w:fill="FFFFFF" w:val="cle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1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Software Business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201"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Corporate &amp; Other</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8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Total Consolidated</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17"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Software Business</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28"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Corporate &amp; Other</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c>
          <w:tcPr>
            <w:tcW w:w="146" w:type="dxa"/>
            <w:tcBorders/>
            <w:shd w:fill="FFFFFF" w:val="clear"/>
            <w:vAlign w:val="center"/>
          </w:tcPr>
          <w:p>
            <w:pPr>
              <w:pStyle w:val="TableContents"/>
              <w:bidi w:val="0"/>
              <w:spacing w:before="0" w:after="283"/>
              <w:jc w:val="center"/>
              <w:rPr/>
            </w:pPr>
            <w:r>
              <w:rPr/>
              <w:t> </w:t>
            </w:r>
          </w:p>
        </w:tc>
        <w:tc>
          <w:tcPr>
            <w:tcW w:w="1185" w:type="dxa"/>
            <w:gridSpan w:val="2"/>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rFonts w:ascii="Times New Roman" w:hAnsi="Times New Roman"/>
                <w:b/>
                <w:color w:val="000000"/>
                <w:sz w:val="16"/>
              </w:rPr>
            </w:pPr>
            <w:r>
              <w:rPr>
                <w:rFonts w:ascii="Times New Roman" w:hAnsi="Times New Roman"/>
                <w:b/>
                <w:color w:val="000000"/>
                <w:sz w:val="16"/>
              </w:rPr>
              <w:t>Total Consolidated</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center"/>
              <w:rPr/>
            </w:pPr>
            <w:r>
              <w:rPr/>
              <w:t> </w:t>
            </w:r>
          </w:p>
        </w:tc>
      </w:tr>
      <w:tr>
        <w:trPr/>
        <w:tc>
          <w:tcPr>
            <w:tcW w:w="134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revenues</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115,246</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1"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4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115,246</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121,915</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128"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121,915</w:t>
            </w:r>
          </w:p>
        </w:tc>
        <w:tc>
          <w:tcPr>
            <w:tcW w:w="218" w:type="dxa"/>
            <w:tcBorders/>
            <w:shd w:fill="CFF0FC" w:val="clear"/>
            <w:vAlign w:val="center"/>
          </w:tcPr>
          <w:p>
            <w:pPr>
              <w:pStyle w:val="TableContents"/>
              <w:bidi w:val="0"/>
              <w:spacing w:before="0" w:after="283"/>
              <w:jc w:val="left"/>
              <w:rPr/>
            </w:pPr>
            <w:r>
              <w:rPr/>
              <w:t> </w:t>
            </w:r>
          </w:p>
        </w:tc>
      </w:tr>
      <w:tr>
        <w:trPr/>
        <w:tc>
          <w:tcPr>
            <w:tcW w:w="134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cost of revenues</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30,015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201"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49"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30,015</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27,941</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1128" w:type="dxa"/>
            <w:gridSpan w:val="2"/>
            <w:tcBorders/>
            <w:shd w:fill="FFFFFF" w:val="clear"/>
            <w:vAlign w:val="center"/>
          </w:tcPr>
          <w:p>
            <w:pPr>
              <w:pStyle w:val="TableContents"/>
              <w:bidi w:val="0"/>
              <w:spacing w:before="0" w:after="283"/>
              <w:jc w:val="left"/>
              <w:rPr/>
            </w:pPr>
            <w:r>
              <w:rPr/>
              <w:t> </w:t>
            </w:r>
          </w:p>
        </w:tc>
        <w:tc>
          <w:tcPr>
            <w:tcW w:w="166" w:type="dxa"/>
            <w:tcBorders/>
            <w:shd w:fill="FFFFFF" w:val="cle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4"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27,941</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134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Gross profit</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85,231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201"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4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85,231</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93,974</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1128" w:type="dxa"/>
            <w:gridSpan w:val="2"/>
            <w:tcBorders/>
            <w:shd w:fill="CFF0FC" w:val="clear"/>
            <w:vAlign w:val="center"/>
          </w:tcPr>
          <w:p>
            <w:pPr>
              <w:pStyle w:val="TableContents"/>
              <w:bidi w:val="0"/>
              <w:spacing w:before="0" w:after="283"/>
              <w:jc w:val="left"/>
              <w:rPr/>
            </w:pPr>
            <w:r>
              <w:rPr/>
              <w:t> </w:t>
            </w:r>
          </w:p>
        </w:tc>
        <w:tc>
          <w:tcPr>
            <w:tcW w:w="166" w:type="dxa"/>
            <w:tcBorders/>
            <w:shd w:fill="CFF0FC" w:val="clear"/>
            <w:vAlign w:val="center"/>
          </w:tcPr>
          <w:p>
            <w:pPr>
              <w:pStyle w:val="TableContents"/>
              <w:bidi w:val="0"/>
              <w:spacing w:before="0" w:after="283"/>
              <w:jc w:val="left"/>
              <w:rPr/>
            </w:pPr>
            <w:r>
              <w:rPr/>
              <w:t> </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93,974</w:t>
            </w:r>
          </w:p>
        </w:tc>
        <w:tc>
          <w:tcPr>
            <w:tcW w:w="218" w:type="dxa"/>
            <w:tcBorders/>
            <w:shd w:fill="CFF0FC" w:val="clear"/>
            <w:vAlign w:val="center"/>
          </w:tcPr>
          <w:p>
            <w:pPr>
              <w:pStyle w:val="TableContents"/>
              <w:bidi w:val="0"/>
              <w:spacing w:before="0" w:after="283"/>
              <w:jc w:val="left"/>
              <w:rPr/>
            </w:pPr>
            <w:r>
              <w:rPr/>
              <w:t> </w:t>
            </w:r>
          </w:p>
        </w:tc>
      </w:tr>
      <w:tr>
        <w:trPr/>
        <w:tc>
          <w:tcPr>
            <w:tcW w:w="1346" w:type="dxa"/>
            <w:tcBorders/>
            <w:shd w:fill="FFFFFF"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Total operating expenses</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96,123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4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6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192,810</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49"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288,933</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3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80"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94,487</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877"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19,794</w:t>
            </w:r>
          </w:p>
        </w:tc>
        <w:tc>
          <w:tcPr>
            <w:tcW w:w="166"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146" w:type="dxa"/>
            <w:tcBorders/>
            <w:shd w:fill="FFFFFF" w:val="clear"/>
            <w:vAlign w:val="center"/>
          </w:tcPr>
          <w:p>
            <w:pPr>
              <w:pStyle w:val="TableContents"/>
              <w:bidi w:val="0"/>
              <w:spacing w:before="0" w:after="283"/>
              <w:jc w:val="left"/>
              <w:rPr/>
            </w:pPr>
            <w:r>
              <w:rPr/>
              <w:t> </w:t>
            </w:r>
          </w:p>
        </w:tc>
        <w:tc>
          <w:tcPr>
            <w:tcW w:w="251"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c>
          <w:tcPr>
            <w:tcW w:w="934"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114,281</w:t>
            </w:r>
          </w:p>
        </w:tc>
        <w:tc>
          <w:tcPr>
            <w:tcW w:w="218" w:type="dxa"/>
            <w:tcBorders>
              <w:bottom w:val="single" w:sz="4" w:space="0" w:color="000000"/>
            </w:tcBorders>
            <w:shd w:fill="FFFFFF" w:val="clear"/>
            <w:tcMar>
              <w:top w:w="0" w:type="dxa"/>
              <w:left w:w="0" w:type="dxa"/>
              <w:right w:w="0" w:type="dxa"/>
            </w:tcMar>
            <w:vAlign w:val="center"/>
          </w:tcPr>
          <w:p>
            <w:pPr>
              <w:pStyle w:val="TableContents"/>
              <w:bidi w:val="0"/>
              <w:spacing w:before="0" w:after="283"/>
              <w:jc w:val="left"/>
              <w:rPr/>
            </w:pPr>
            <w:r>
              <w:rPr/>
              <w:t> </w:t>
            </w:r>
          </w:p>
        </w:tc>
      </w:tr>
      <w:tr>
        <w:trPr/>
        <w:tc>
          <w:tcPr>
            <w:tcW w:w="134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Loss from operations</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(10,892</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4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6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(192,810</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3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49"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(203,702</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37"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80"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(513</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877"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(19,794</w:t>
            </w:r>
          </w:p>
        </w:tc>
        <w:tc>
          <w:tcPr>
            <w:tcW w:w="166"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146" w:type="dxa"/>
            <w:tcBorders/>
            <w:shd w:fill="CFF0FC" w:val="clear"/>
            <w:vAlign w:val="center"/>
          </w:tcPr>
          <w:p>
            <w:pPr>
              <w:pStyle w:val="TableContents"/>
              <w:bidi w:val="0"/>
              <w:spacing w:before="0" w:after="283"/>
              <w:jc w:val="left"/>
              <w:rPr/>
            </w:pPr>
            <w:r>
              <w:rPr/>
              <w:t> </w:t>
            </w:r>
          </w:p>
        </w:tc>
        <w:tc>
          <w:tcPr>
            <w:tcW w:w="251"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c>
          <w:tcPr>
            <w:tcW w:w="934" w:type="dxa"/>
            <w:tcBorders/>
            <w:shd w:fill="CFF0FC" w:val="clear"/>
            <w:vAlign w:val="center"/>
          </w:tcPr>
          <w:p>
            <w:pPr>
              <w:pStyle w:val="TableContents"/>
              <w:bidi w:val="0"/>
              <w:spacing w:before="0" w:after="283"/>
              <w:jc w:val="right"/>
              <w:rPr>
                <w:rFonts w:ascii="Times New Roman" w:hAnsi="Times New Roman"/>
                <w:color w:val="000000"/>
                <w:sz w:val="20"/>
              </w:rPr>
            </w:pPr>
            <w:r>
              <w:rPr>
                <w:rFonts w:ascii="Times New Roman" w:hAnsi="Times New Roman"/>
                <w:color w:val="000000"/>
                <w:sz w:val="20"/>
              </w:rPr>
              <w:t>(20,307</w:t>
            </w:r>
          </w:p>
        </w:tc>
        <w:tc>
          <w:tcPr>
            <w:tcW w:w="218" w:type="dxa"/>
            <w:tcBorders/>
            <w:shd w:fill="CFF0FC" w:val="clear"/>
            <w:vAlign w:val="center"/>
          </w:tcPr>
          <w:p>
            <w:pPr>
              <w:pStyle w:val="TableContents"/>
              <w:bidi w:val="0"/>
              <w:spacing w:before="0" w:after="283"/>
              <w:jc w:val="left"/>
              <w:rPr>
                <w:rFonts w:ascii="Times New Roman" w:hAnsi="Times New Roman"/>
                <w:color w:val="000000"/>
                <w:sz w:val="20"/>
              </w:rPr>
            </w:pPr>
            <w:r>
              <w:rPr>
                <w:rFonts w:ascii="Times New Roman" w:hAnsi="Times New Roman"/>
                <w:color w:val="000000"/>
                <w:sz w:val="20"/>
              </w:rPr>
              <w:t>)</w:t>
            </w:r>
          </w:p>
        </w:tc>
      </w:tr>
    </w:tbl>
    <w:p>
      <w:pPr>
        <w:pStyle w:val="TextBody"/>
        <w:bidi w:val="0"/>
        <w:jc w:val="left"/>
        <w:rPr/>
      </w:pPr>
      <w:r>
        <w:rPr/>
        <w:t> </w:t>
      </w:r>
    </w:p>
    <w:p>
      <w:pPr>
        <w:pStyle w:val="TextBody"/>
        <w:bidi w:val="0"/>
        <w:jc w:val="left"/>
        <w:rPr>
          <w:rFonts w:ascii="Times New Roman" w:hAnsi="Times New Roman"/>
          <w:color w:val="000000"/>
          <w:sz w:val="20"/>
        </w:rPr>
      </w:pPr>
      <w:r>
        <w:rPr>
          <w:rFonts w:ascii="Times New Roman" w:hAnsi="Times New Roman"/>
          <w:color w:val="000000"/>
          <w:sz w:val="20"/>
        </w:rPr>
        <w:t xml:space="preserve">MicroStrategy manages its business in one reportable operating segment which is engaged in the design, development, marketing, and sales of its software platform through licensing arrangements and cloud subscriptions and related services. Beginning in 2024, MicroStrategy has broken out a Corporate &amp; Other category, which is not considered an operating segment, and includes the impairment charges and other third-party costs associated with its digital asset holdings. </w:t>
      </w:r>
    </w:p>
    <w:p>
      <w:pPr>
        <w:pStyle w:val="TextBody"/>
        <w:bidi w:val="0"/>
        <w:jc w:val="left"/>
        <w:rPr/>
      </w:pPr>
      <w:r>
        <w:rPr/>
        <w:t> </w:t>
      </w:r>
    </w:p>
    <w:p>
      <w:pPr>
        <w:pStyle w:val="HorizontalLine"/>
        <w:pBdr>
          <w:bottom w:val="double" w:sz="2" w:space="0" w:color="808080"/>
        </w:pBdr>
        <w:bidi w:val="0"/>
        <w:spacing w:before="0" w:after="283"/>
        <w:jc w:val="left"/>
        <w:rPr/>
      </w:pPr>
      <w:r>
        <w:rPr/>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3</Pages>
  <Words>5849</Words>
  <Characters>33330</Characters>
  <CharactersWithSpaces>39814</CharactersWithSpaces>
  <Paragraphs>2703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